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4DA4C0" w14:textId="77777777" w:rsidR="00215800" w:rsidRDefault="00A93AD8">
      <w:r w:rsidRPr="00A93AD8">
        <w:rPr>
          <w:noProof/>
        </w:rPr>
        <w:drawing>
          <wp:inline distT="0" distB="0" distL="0" distR="0" wp14:anchorId="5941205B" wp14:editId="32831A47">
            <wp:extent cx="2422556" cy="1971040"/>
            <wp:effectExtent l="0" t="0" r="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424143" cy="1972331"/>
                    </a:xfrm>
                    <a:prstGeom prst="rect">
                      <a:avLst/>
                    </a:prstGeom>
                  </pic:spPr>
                </pic:pic>
              </a:graphicData>
            </a:graphic>
          </wp:inline>
        </w:drawing>
      </w:r>
    </w:p>
    <w:p w14:paraId="68B61D1C" w14:textId="77777777" w:rsidR="00A93AD8" w:rsidRPr="0040147F" w:rsidRDefault="00A93AD8">
      <w:pPr>
        <w:rPr>
          <w:rFonts w:ascii="微软雅黑" w:eastAsia="微软雅黑" w:hAnsi="微软雅黑"/>
          <w:sz w:val="21"/>
          <w:szCs w:val="21"/>
        </w:rPr>
      </w:pPr>
      <w:r w:rsidRPr="0040147F">
        <w:rPr>
          <w:rFonts w:ascii="微软雅黑" w:eastAsia="微软雅黑" w:hAnsi="微软雅黑" w:hint="eastAsia"/>
          <w:sz w:val="21"/>
          <w:szCs w:val="21"/>
        </w:rPr>
        <w:t>封凯栋，系别:公共政策系 职称：副教授</w:t>
      </w:r>
    </w:p>
    <w:p w14:paraId="2D87A054" w14:textId="77777777" w:rsidR="00A93AD8" w:rsidRPr="0040147F" w:rsidRDefault="00A93AD8" w:rsidP="00A93AD8">
      <w:pPr>
        <w:widowControl/>
        <w:jc w:val="left"/>
        <w:rPr>
          <w:rFonts w:ascii="微软雅黑" w:eastAsia="微软雅黑" w:hAnsi="微软雅黑" w:cs="Times New Roman"/>
          <w:kern w:val="0"/>
          <w:sz w:val="21"/>
          <w:szCs w:val="21"/>
        </w:rPr>
      </w:pPr>
      <w:r w:rsidRPr="0040147F">
        <w:rPr>
          <w:rFonts w:ascii="微软雅黑" w:eastAsia="微软雅黑" w:hAnsi="微软雅黑" w:hint="eastAsia"/>
          <w:sz w:val="21"/>
          <w:szCs w:val="21"/>
        </w:rPr>
        <w:t>email：</w:t>
      </w:r>
      <w:r w:rsidRPr="0040147F">
        <w:rPr>
          <w:rFonts w:ascii="微软雅黑" w:eastAsia="微软雅黑" w:hAnsi="微软雅黑" w:cs="Times New Roman" w:hint="eastAsia"/>
          <w:color w:val="999999"/>
          <w:kern w:val="0"/>
          <w:sz w:val="21"/>
          <w:szCs w:val="21"/>
        </w:rPr>
        <w:t>k.feng@pku.edu.cn</w:t>
      </w:r>
    </w:p>
    <w:p w14:paraId="471E723C" w14:textId="77777777" w:rsidR="00A93AD8" w:rsidRPr="0040147F" w:rsidRDefault="00A93AD8">
      <w:pPr>
        <w:rPr>
          <w:rFonts w:ascii="微软雅黑" w:eastAsia="微软雅黑" w:hAnsi="微软雅黑"/>
          <w:sz w:val="21"/>
          <w:szCs w:val="21"/>
        </w:rPr>
      </w:pPr>
    </w:p>
    <w:p w14:paraId="0DB9CB48" w14:textId="79E2E5F3" w:rsidR="00A93AD8" w:rsidRPr="0040147F" w:rsidRDefault="00A93AD8">
      <w:pPr>
        <w:rPr>
          <w:rFonts w:ascii="微软雅黑" w:eastAsia="微软雅黑" w:hAnsi="微软雅黑" w:cs="Times New Roman"/>
          <w:b/>
          <w:bCs/>
          <w:color w:val="313131"/>
          <w:kern w:val="0"/>
          <w:sz w:val="21"/>
          <w:szCs w:val="21"/>
        </w:rPr>
      </w:pPr>
      <w:r w:rsidRPr="0040147F">
        <w:rPr>
          <w:rStyle w:val="a4"/>
          <w:rFonts w:ascii="微软雅黑" w:eastAsia="微软雅黑" w:hAnsi="微软雅黑" w:cs="Times New Roman" w:hint="eastAsia"/>
          <w:color w:val="313131"/>
          <w:kern w:val="0"/>
          <w:sz w:val="21"/>
          <w:szCs w:val="21"/>
        </w:rPr>
        <w:t>教授简介</w:t>
      </w:r>
    </w:p>
    <w:p w14:paraId="58E0E32A" w14:textId="77777777" w:rsidR="0040147F" w:rsidRDefault="00A93AD8" w:rsidP="0040147F">
      <w:pPr>
        <w:pStyle w:val="a3"/>
        <w:spacing w:before="0" w:beforeAutospacing="0" w:after="0" w:afterAutospacing="0"/>
        <w:ind w:firstLineChars="200" w:firstLine="420"/>
        <w:rPr>
          <w:rFonts w:ascii="微软雅黑" w:eastAsia="微软雅黑" w:hAnsi="微软雅黑" w:hint="eastAsia"/>
          <w:color w:val="313131"/>
          <w:sz w:val="21"/>
          <w:szCs w:val="21"/>
        </w:rPr>
      </w:pPr>
      <w:r w:rsidRPr="0040147F">
        <w:rPr>
          <w:rFonts w:ascii="微软雅黑" w:eastAsia="微软雅黑" w:hAnsi="微软雅黑" w:hint="eastAsia"/>
          <w:color w:val="313131"/>
          <w:sz w:val="21"/>
          <w:szCs w:val="21"/>
        </w:rPr>
        <w:t>封凯栋，男，广西人</w:t>
      </w:r>
      <w:r w:rsidR="005D481D" w:rsidRPr="0040147F">
        <w:rPr>
          <w:rFonts w:ascii="微软雅黑" w:eastAsia="微软雅黑" w:hAnsi="微软雅黑" w:hint="eastAsia"/>
          <w:color w:val="313131"/>
          <w:sz w:val="21"/>
          <w:szCs w:val="21"/>
        </w:rPr>
        <w:t>，汉族，政治经济学博士，北京大学政府管理学院副教授，博士生导师</w:t>
      </w:r>
      <w:r w:rsidRPr="0040147F">
        <w:rPr>
          <w:rFonts w:ascii="微软雅黑" w:eastAsia="微软雅黑" w:hAnsi="微软雅黑" w:hint="eastAsia"/>
          <w:color w:val="313131"/>
          <w:sz w:val="21"/>
          <w:szCs w:val="21"/>
        </w:rPr>
        <w:t>。2000年和2003年分别在清华大学获得工学学士和管理学硕士学位，2004年赴英国萨塞克斯大学（University of Sussex）留学，在新熊彼</w:t>
      </w:r>
      <w:proofErr w:type="gramStart"/>
      <w:r w:rsidRPr="0040147F">
        <w:rPr>
          <w:rFonts w:ascii="微软雅黑" w:eastAsia="微软雅黑" w:hAnsi="微软雅黑" w:hint="eastAsia"/>
          <w:color w:val="313131"/>
          <w:sz w:val="21"/>
          <w:szCs w:val="21"/>
        </w:rPr>
        <w:t>特</w:t>
      </w:r>
      <w:proofErr w:type="gramEnd"/>
      <w:r w:rsidRPr="0040147F">
        <w:rPr>
          <w:rFonts w:ascii="微软雅黑" w:eastAsia="微软雅黑" w:hAnsi="微软雅黑" w:hint="eastAsia"/>
          <w:color w:val="313131"/>
          <w:sz w:val="21"/>
          <w:szCs w:val="21"/>
        </w:rPr>
        <w:t>主义理论的全球性学术中心SPRU中心获得博士学位，2011年回国。</w:t>
      </w:r>
    </w:p>
    <w:p w14:paraId="3F11FC3E" w14:textId="0D4C5E94" w:rsidR="0040147F" w:rsidRDefault="00A93AD8" w:rsidP="0040147F">
      <w:pPr>
        <w:pStyle w:val="a3"/>
        <w:spacing w:before="0" w:beforeAutospacing="0" w:after="0" w:afterAutospacing="0"/>
        <w:ind w:firstLineChars="200" w:firstLine="420"/>
        <w:rPr>
          <w:rFonts w:ascii="微软雅黑" w:eastAsia="微软雅黑" w:hAnsi="微软雅黑" w:hint="eastAsia"/>
          <w:color w:val="313131"/>
          <w:sz w:val="21"/>
          <w:szCs w:val="21"/>
        </w:rPr>
      </w:pPr>
      <w:r w:rsidRPr="0040147F">
        <w:rPr>
          <w:rFonts w:ascii="微软雅黑" w:eastAsia="微软雅黑" w:hAnsi="微软雅黑" w:hint="eastAsia"/>
          <w:color w:val="313131"/>
          <w:sz w:val="21"/>
          <w:szCs w:val="21"/>
        </w:rPr>
        <w:t>封凯栋主要关注经济发展过程中的政企关系，具体包括产业政策与科技政策在工业能力成长、经济发展和国家能力建设中扮演的角色，制度环境对企业组织系统、企业内社会权力关系的影响等。</w:t>
      </w:r>
    </w:p>
    <w:p w14:paraId="54AD7386" w14:textId="409A897F" w:rsidR="00A93AD8" w:rsidRPr="0040147F" w:rsidRDefault="00A93AD8" w:rsidP="0040147F">
      <w:pPr>
        <w:pStyle w:val="a3"/>
        <w:spacing w:before="0" w:beforeAutospacing="0" w:after="0" w:afterAutospacing="0"/>
        <w:ind w:firstLineChars="200" w:firstLine="420"/>
        <w:rPr>
          <w:rFonts w:ascii="微软雅黑" w:eastAsia="微软雅黑" w:hAnsi="微软雅黑"/>
          <w:color w:val="313131"/>
          <w:sz w:val="21"/>
          <w:szCs w:val="21"/>
        </w:rPr>
      </w:pPr>
      <w:r w:rsidRPr="0040147F">
        <w:rPr>
          <w:rFonts w:ascii="微软雅黑" w:eastAsia="微软雅黑" w:hAnsi="微软雅黑" w:hint="eastAsia"/>
          <w:color w:val="313131"/>
          <w:sz w:val="21"/>
          <w:szCs w:val="21"/>
        </w:rPr>
        <w:t>封凯栋担任中国软科学学会理事，并在中美创新对话、电动车百人会等政府间对话机制和国内组织中担任中方专家和首席专家等角色，是科技部对</w:t>
      </w:r>
      <w:proofErr w:type="gramStart"/>
      <w:r w:rsidRPr="0040147F">
        <w:rPr>
          <w:rFonts w:ascii="微软雅黑" w:eastAsia="微软雅黑" w:hAnsi="微软雅黑" w:hint="eastAsia"/>
          <w:color w:val="313131"/>
          <w:sz w:val="21"/>
          <w:szCs w:val="21"/>
        </w:rPr>
        <w:t>美科技</w:t>
      </w:r>
      <w:proofErr w:type="gramEnd"/>
      <w:r w:rsidRPr="0040147F">
        <w:rPr>
          <w:rFonts w:ascii="微软雅黑" w:eastAsia="微软雅黑" w:hAnsi="微软雅黑" w:hint="eastAsia"/>
          <w:color w:val="313131"/>
          <w:sz w:val="21"/>
          <w:szCs w:val="21"/>
        </w:rPr>
        <w:t>合作十三五规划工作组副组长，是国际学术研究团体AIRNET（The Academic-Industry Research Network）骨干成员，长期为国内外多本学术期刊担任审稿人工作，已在国内外期刊发表文章十余篇。</w:t>
      </w:r>
    </w:p>
    <w:p w14:paraId="1D35C6C1" w14:textId="77777777"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Fonts w:ascii="微软雅黑" w:eastAsia="微软雅黑" w:hAnsi="微软雅黑" w:hint="eastAsia"/>
          <w:color w:val="313131"/>
          <w:sz w:val="21"/>
          <w:szCs w:val="21"/>
        </w:rPr>
        <w:t> </w:t>
      </w:r>
    </w:p>
    <w:p w14:paraId="3316A33F" w14:textId="3D59F6CF"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Style w:val="a4"/>
          <w:rFonts w:ascii="微软雅黑" w:eastAsia="微软雅黑" w:hAnsi="微软雅黑" w:hint="eastAsia"/>
          <w:color w:val="313131"/>
          <w:sz w:val="21"/>
          <w:szCs w:val="21"/>
        </w:rPr>
        <w:t>教育背景</w:t>
      </w:r>
    </w:p>
    <w:p w14:paraId="06816628" w14:textId="77777777"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Fonts w:ascii="微软雅黑" w:eastAsia="微软雅黑" w:hAnsi="微软雅黑" w:hint="eastAsia"/>
          <w:color w:val="313131"/>
          <w:sz w:val="21"/>
          <w:szCs w:val="21"/>
        </w:rPr>
        <w:t>1、2010年毕业，萨塞克斯大学（英国），政治经济学，博士</w:t>
      </w:r>
    </w:p>
    <w:p w14:paraId="2D38BDD6" w14:textId="77777777"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Fonts w:ascii="微软雅黑" w:eastAsia="微软雅黑" w:hAnsi="微软雅黑" w:hint="eastAsia"/>
          <w:color w:val="313131"/>
          <w:sz w:val="21"/>
          <w:szCs w:val="21"/>
        </w:rPr>
        <w:t>2、2003年毕业，清华大学，管理学，硕士</w:t>
      </w:r>
    </w:p>
    <w:p w14:paraId="74D78225" w14:textId="77777777"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Fonts w:ascii="微软雅黑" w:eastAsia="微软雅黑" w:hAnsi="微软雅黑" w:hint="eastAsia"/>
          <w:color w:val="313131"/>
          <w:sz w:val="21"/>
          <w:szCs w:val="21"/>
        </w:rPr>
        <w:t>3、2000年毕业，清华大学，工学，学士</w:t>
      </w:r>
    </w:p>
    <w:p w14:paraId="0AA8C99E" w14:textId="77777777"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Fonts w:ascii="微软雅黑" w:eastAsia="微软雅黑" w:hAnsi="微软雅黑" w:hint="eastAsia"/>
          <w:color w:val="313131"/>
          <w:sz w:val="21"/>
          <w:szCs w:val="21"/>
        </w:rPr>
        <w:t> </w:t>
      </w:r>
    </w:p>
    <w:p w14:paraId="084B75C3" w14:textId="764AAAE0"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Style w:val="a4"/>
          <w:rFonts w:ascii="微软雅黑" w:eastAsia="微软雅黑" w:hAnsi="微软雅黑" w:hint="eastAsia"/>
          <w:color w:val="313131"/>
          <w:sz w:val="21"/>
          <w:szCs w:val="21"/>
        </w:rPr>
        <w:t>研究领域</w:t>
      </w:r>
    </w:p>
    <w:p w14:paraId="51F178A1" w14:textId="77777777"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Fonts w:ascii="微软雅黑" w:eastAsia="微软雅黑" w:hAnsi="微软雅黑" w:hint="eastAsia"/>
          <w:color w:val="313131"/>
          <w:sz w:val="21"/>
          <w:szCs w:val="21"/>
        </w:rPr>
        <w:t>1、科学、技术与组织演进的政治经济学</w:t>
      </w:r>
    </w:p>
    <w:p w14:paraId="37AD9A92" w14:textId="77777777"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Fonts w:ascii="微软雅黑" w:eastAsia="微软雅黑" w:hAnsi="微软雅黑" w:hint="eastAsia"/>
          <w:color w:val="313131"/>
          <w:sz w:val="21"/>
          <w:szCs w:val="21"/>
        </w:rPr>
        <w:t>2、发展中国家的技术学习、工业能力成长及工业追赶</w:t>
      </w:r>
    </w:p>
    <w:p w14:paraId="1A0FA3F7" w14:textId="77777777"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Fonts w:ascii="微软雅黑" w:eastAsia="微软雅黑" w:hAnsi="微软雅黑" w:hint="eastAsia"/>
          <w:color w:val="313131"/>
          <w:sz w:val="21"/>
          <w:szCs w:val="21"/>
        </w:rPr>
        <w:t>3、创新系统的演进</w:t>
      </w:r>
    </w:p>
    <w:p w14:paraId="6511F4CC" w14:textId="77777777"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Fonts w:ascii="微软雅黑" w:eastAsia="微软雅黑" w:hAnsi="微软雅黑" w:hint="eastAsia"/>
          <w:color w:val="313131"/>
          <w:sz w:val="21"/>
          <w:szCs w:val="21"/>
        </w:rPr>
        <w:lastRenderedPageBreak/>
        <w:t>4、产业/科技政策与国家能力建设</w:t>
      </w:r>
    </w:p>
    <w:p w14:paraId="7CE92D8B" w14:textId="77777777" w:rsidR="00A93AD8" w:rsidRPr="0040147F" w:rsidRDefault="00A93AD8">
      <w:pPr>
        <w:rPr>
          <w:rFonts w:ascii="微软雅黑" w:eastAsia="微软雅黑" w:hAnsi="微软雅黑"/>
          <w:sz w:val="21"/>
          <w:szCs w:val="21"/>
        </w:rPr>
      </w:pPr>
    </w:p>
    <w:p w14:paraId="18851BDE" w14:textId="6A7B26CE"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Style w:val="a4"/>
          <w:rFonts w:ascii="微软雅黑" w:eastAsia="微软雅黑" w:hAnsi="微软雅黑" w:hint="eastAsia"/>
          <w:color w:val="313131"/>
          <w:sz w:val="21"/>
          <w:szCs w:val="21"/>
        </w:rPr>
        <w:t>职业经历</w:t>
      </w:r>
    </w:p>
    <w:p w14:paraId="458ADC8E" w14:textId="77777777"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Fonts w:ascii="微软雅黑" w:eastAsia="微软雅黑" w:hAnsi="微软雅黑" w:hint="eastAsia"/>
          <w:color w:val="313131"/>
          <w:sz w:val="21"/>
          <w:szCs w:val="21"/>
        </w:rPr>
        <w:t>1、2013年至今，北京大学政府管理学院，副教授</w:t>
      </w:r>
    </w:p>
    <w:p w14:paraId="7B3C034E" w14:textId="77777777" w:rsidR="00A93AD8" w:rsidRPr="0040147F" w:rsidRDefault="00A93AD8" w:rsidP="00A93AD8">
      <w:pPr>
        <w:pStyle w:val="a3"/>
        <w:spacing w:before="0" w:beforeAutospacing="0" w:after="0" w:afterAutospacing="0"/>
        <w:rPr>
          <w:rFonts w:ascii="微软雅黑" w:eastAsia="微软雅黑" w:hAnsi="微软雅黑"/>
          <w:color w:val="313131"/>
          <w:sz w:val="21"/>
          <w:szCs w:val="21"/>
        </w:rPr>
      </w:pPr>
      <w:r w:rsidRPr="0040147F">
        <w:rPr>
          <w:rFonts w:ascii="微软雅黑" w:eastAsia="微软雅黑" w:hAnsi="微软雅黑" w:hint="eastAsia"/>
          <w:color w:val="313131"/>
          <w:sz w:val="21"/>
          <w:szCs w:val="21"/>
        </w:rPr>
        <w:t>2、2011-2013年，北京大学政府管理学院，讲师</w:t>
      </w:r>
    </w:p>
    <w:p w14:paraId="4857D1BA" w14:textId="77777777" w:rsidR="00A93AD8" w:rsidRPr="0040147F" w:rsidRDefault="00A93AD8">
      <w:pPr>
        <w:rPr>
          <w:rFonts w:ascii="微软雅黑" w:eastAsia="微软雅黑" w:hAnsi="微软雅黑"/>
          <w:sz w:val="21"/>
          <w:szCs w:val="21"/>
        </w:rPr>
      </w:pPr>
    </w:p>
    <w:p w14:paraId="6C15B94A" w14:textId="77777777" w:rsidR="00A93AD8" w:rsidRPr="0040147F" w:rsidRDefault="00A93AD8">
      <w:pPr>
        <w:rPr>
          <w:rFonts w:ascii="微软雅黑" w:eastAsia="微软雅黑" w:hAnsi="微软雅黑"/>
          <w:b/>
          <w:sz w:val="21"/>
          <w:szCs w:val="21"/>
        </w:rPr>
      </w:pPr>
      <w:r w:rsidRPr="0040147F">
        <w:rPr>
          <w:rFonts w:ascii="微软雅黑" w:eastAsia="微软雅黑" w:hAnsi="微软雅黑" w:hint="eastAsia"/>
          <w:b/>
          <w:sz w:val="21"/>
          <w:szCs w:val="21"/>
        </w:rPr>
        <w:t>研究成果</w:t>
      </w:r>
    </w:p>
    <w:p w14:paraId="18723B3B" w14:textId="58425F12" w:rsidR="00A93AD8" w:rsidRPr="0040147F" w:rsidRDefault="00A93AD8" w:rsidP="00A93AD8">
      <w:pPr>
        <w:widowControl/>
        <w:jc w:val="left"/>
        <w:rPr>
          <w:rFonts w:ascii="微软雅黑" w:eastAsia="微软雅黑" w:hAnsi="微软雅黑" w:cs="Times New Roman"/>
          <w:color w:val="313131"/>
          <w:kern w:val="0"/>
          <w:sz w:val="21"/>
          <w:szCs w:val="21"/>
        </w:rPr>
      </w:pPr>
      <w:r w:rsidRPr="0040147F">
        <w:rPr>
          <w:rFonts w:ascii="微软雅黑" w:eastAsia="微软雅黑" w:hAnsi="微软雅黑" w:cs="Times New Roman" w:hint="eastAsia"/>
          <w:color w:val="313131"/>
          <w:kern w:val="0"/>
          <w:sz w:val="21"/>
          <w:szCs w:val="21"/>
        </w:rPr>
        <w:t>1、路风，封凯栋，2005年，《发展我国自主知识产权汽车工业的政策选择》，北京大学出版社，2005年出版</w:t>
      </w:r>
      <w:r w:rsidRPr="0040147F">
        <w:rPr>
          <w:rFonts w:ascii="微软雅黑" w:eastAsia="微软雅黑" w:hAnsi="微软雅黑" w:cs="Times New Roman" w:hint="eastAsia"/>
          <w:color w:val="313131"/>
          <w:kern w:val="0"/>
          <w:sz w:val="21"/>
          <w:szCs w:val="21"/>
        </w:rPr>
        <w:br/>
      </w:r>
      <w:r w:rsidRPr="0040147F">
        <w:rPr>
          <w:rFonts w:ascii="微软雅黑" w:eastAsia="微软雅黑" w:hAnsi="微软雅黑" w:cs="Times New Roman" w:hint="eastAsia"/>
          <w:color w:val="313131"/>
          <w:kern w:val="0"/>
          <w:sz w:val="21"/>
          <w:szCs w:val="21"/>
        </w:rPr>
        <w:br/>
      </w:r>
      <w:r w:rsidRPr="0040147F">
        <w:rPr>
          <w:rFonts w:ascii="微软雅黑" w:eastAsia="微软雅黑" w:hAnsi="微软雅黑" w:cs="Times New Roman" w:hint="eastAsia"/>
          <w:b/>
          <w:color w:val="313131"/>
          <w:kern w:val="0"/>
          <w:sz w:val="21"/>
          <w:szCs w:val="21"/>
        </w:rPr>
        <w:t>著作章节</w:t>
      </w:r>
      <w:r w:rsidRPr="0040147F">
        <w:rPr>
          <w:rFonts w:ascii="微软雅黑" w:eastAsia="微软雅黑" w:hAnsi="微软雅黑" w:cs="Times New Roman" w:hint="eastAsia"/>
          <w:color w:val="313131"/>
          <w:kern w:val="0"/>
          <w:sz w:val="21"/>
          <w:szCs w:val="21"/>
        </w:rPr>
        <w:br/>
        <w:t xml:space="preserve">1、Feng, </w:t>
      </w:r>
      <w:proofErr w:type="spellStart"/>
      <w:r w:rsidRPr="0040147F">
        <w:rPr>
          <w:rFonts w:ascii="微软雅黑" w:eastAsia="微软雅黑" w:hAnsi="微软雅黑" w:cs="Times New Roman" w:hint="eastAsia"/>
          <w:color w:val="313131"/>
          <w:kern w:val="0"/>
          <w:sz w:val="21"/>
          <w:szCs w:val="21"/>
        </w:rPr>
        <w:t>Kaidong</w:t>
      </w:r>
      <w:proofErr w:type="spellEnd"/>
      <w:r w:rsidRPr="0040147F">
        <w:rPr>
          <w:rFonts w:ascii="微软雅黑" w:eastAsia="微软雅黑" w:hAnsi="微软雅黑" w:cs="Times New Roman" w:hint="eastAsia"/>
          <w:color w:val="313131"/>
          <w:kern w:val="0"/>
          <w:sz w:val="21"/>
          <w:szCs w:val="21"/>
        </w:rPr>
        <w:t xml:space="preserve">, 2016. Chinese Indigenous Innovation in the Car Sector: Being Integrated or Being the Integrator, Chapter 5 of Y. Zhou, W. </w:t>
      </w:r>
      <w:proofErr w:type="spellStart"/>
      <w:r w:rsidRPr="0040147F">
        <w:rPr>
          <w:rFonts w:ascii="微软雅黑" w:eastAsia="微软雅黑" w:hAnsi="微软雅黑" w:cs="Times New Roman" w:hint="eastAsia"/>
          <w:color w:val="313131"/>
          <w:kern w:val="0"/>
          <w:sz w:val="21"/>
          <w:szCs w:val="21"/>
        </w:rPr>
        <w:t>Lazonick</w:t>
      </w:r>
      <w:proofErr w:type="spellEnd"/>
      <w:r w:rsidRPr="0040147F">
        <w:rPr>
          <w:rFonts w:ascii="微软雅黑" w:eastAsia="微软雅黑" w:hAnsi="微软雅黑" w:cs="Times New Roman" w:hint="eastAsia"/>
          <w:color w:val="313131"/>
          <w:kern w:val="0"/>
          <w:sz w:val="21"/>
          <w:szCs w:val="21"/>
        </w:rPr>
        <w:t xml:space="preserve"> and Y. Sun (eds.) China as an Innovation Nation, Oxford, UK: Oxford University Press， pp.133-164.</w:t>
      </w:r>
      <w:r w:rsidRPr="0040147F">
        <w:rPr>
          <w:rFonts w:ascii="微软雅黑" w:eastAsia="微软雅黑" w:hAnsi="微软雅黑" w:cs="Times New Roman" w:hint="eastAsia"/>
          <w:color w:val="313131"/>
          <w:kern w:val="0"/>
          <w:sz w:val="21"/>
          <w:szCs w:val="21"/>
        </w:rPr>
        <w:br/>
        <w:t>2、封凯栋，薛澜，沈群红，“社会资本在聚群演进中的作用”，收录于《社会资本与管理学》，郭毅，罗家德（主编），华东理工大学出版社，2007年出版，第296到313页</w:t>
      </w:r>
      <w:r w:rsidRPr="0040147F">
        <w:rPr>
          <w:rFonts w:ascii="微软雅黑" w:eastAsia="微软雅黑" w:hAnsi="微软雅黑" w:cs="Times New Roman" w:hint="eastAsia"/>
          <w:color w:val="313131"/>
          <w:kern w:val="0"/>
          <w:sz w:val="21"/>
          <w:szCs w:val="21"/>
        </w:rPr>
        <w:br/>
      </w:r>
      <w:r w:rsidRPr="0040147F">
        <w:rPr>
          <w:rFonts w:ascii="微软雅黑" w:eastAsia="微软雅黑" w:hAnsi="微软雅黑" w:cs="Times New Roman" w:hint="eastAsia"/>
          <w:color w:val="313131"/>
          <w:kern w:val="0"/>
          <w:sz w:val="21"/>
          <w:szCs w:val="21"/>
        </w:rPr>
        <w:br/>
      </w:r>
      <w:r w:rsidRPr="0040147F">
        <w:rPr>
          <w:rFonts w:ascii="微软雅黑" w:eastAsia="微软雅黑" w:hAnsi="微软雅黑" w:cs="Times New Roman" w:hint="eastAsia"/>
          <w:b/>
          <w:color w:val="313131"/>
          <w:kern w:val="0"/>
          <w:sz w:val="21"/>
          <w:szCs w:val="21"/>
        </w:rPr>
        <w:t>论文</w:t>
      </w:r>
      <w:r w:rsidRPr="0040147F">
        <w:rPr>
          <w:rFonts w:ascii="微软雅黑" w:eastAsia="微软雅黑" w:hAnsi="微软雅黑" w:cs="Times New Roman" w:hint="eastAsia"/>
          <w:color w:val="313131"/>
          <w:kern w:val="0"/>
          <w:sz w:val="21"/>
          <w:szCs w:val="21"/>
        </w:rPr>
        <w:br/>
        <w:t xml:space="preserve">1、Shen, </w:t>
      </w:r>
      <w:proofErr w:type="spellStart"/>
      <w:r w:rsidRPr="0040147F">
        <w:rPr>
          <w:rFonts w:ascii="微软雅黑" w:eastAsia="微软雅黑" w:hAnsi="微软雅黑" w:cs="Times New Roman" w:hint="eastAsia"/>
          <w:color w:val="313131"/>
          <w:kern w:val="0"/>
          <w:sz w:val="21"/>
          <w:szCs w:val="21"/>
        </w:rPr>
        <w:t>Qunhong</w:t>
      </w:r>
      <w:proofErr w:type="spellEnd"/>
      <w:r w:rsidRPr="0040147F">
        <w:rPr>
          <w:rFonts w:ascii="微软雅黑" w:eastAsia="微软雅黑" w:hAnsi="微软雅黑" w:cs="Times New Roman" w:hint="eastAsia"/>
          <w:color w:val="313131"/>
          <w:kern w:val="0"/>
          <w:sz w:val="21"/>
          <w:szCs w:val="21"/>
        </w:rPr>
        <w:t xml:space="preserve">, </w:t>
      </w:r>
      <w:proofErr w:type="spellStart"/>
      <w:r w:rsidRPr="0040147F">
        <w:rPr>
          <w:rFonts w:ascii="微软雅黑" w:eastAsia="微软雅黑" w:hAnsi="微软雅黑" w:cs="Times New Roman" w:hint="eastAsia"/>
          <w:color w:val="313131"/>
          <w:kern w:val="0"/>
          <w:sz w:val="21"/>
          <w:szCs w:val="21"/>
        </w:rPr>
        <w:t>Kaidong</w:t>
      </w:r>
      <w:proofErr w:type="spellEnd"/>
      <w:r w:rsidRPr="0040147F">
        <w:rPr>
          <w:rFonts w:ascii="微软雅黑" w:eastAsia="微软雅黑" w:hAnsi="微软雅黑" w:cs="Times New Roman" w:hint="eastAsia"/>
          <w:color w:val="313131"/>
          <w:kern w:val="0"/>
          <w:sz w:val="21"/>
          <w:szCs w:val="21"/>
        </w:rPr>
        <w:t xml:space="preserve"> Feng and </w:t>
      </w:r>
      <w:proofErr w:type="spellStart"/>
      <w:r w:rsidRPr="0040147F">
        <w:rPr>
          <w:rFonts w:ascii="微软雅黑" w:eastAsia="微软雅黑" w:hAnsi="微软雅黑" w:cs="Times New Roman" w:hint="eastAsia"/>
          <w:color w:val="313131"/>
          <w:kern w:val="0"/>
          <w:sz w:val="21"/>
          <w:szCs w:val="21"/>
        </w:rPr>
        <w:t>Xiaobin</w:t>
      </w:r>
      <w:proofErr w:type="spellEnd"/>
      <w:r w:rsidRPr="0040147F">
        <w:rPr>
          <w:rFonts w:ascii="微软雅黑" w:eastAsia="微软雅黑" w:hAnsi="微软雅黑" w:cs="Times New Roman" w:hint="eastAsia"/>
          <w:color w:val="313131"/>
          <w:kern w:val="0"/>
          <w:sz w:val="21"/>
          <w:szCs w:val="21"/>
        </w:rPr>
        <w:t xml:space="preserve"> Zhang, 2016. Divergent technological strategies among leading electric vehicle firms in China: Multiplicity of institutional logics and responses of firm. Science and Public Policy, (corresponding author, in press, forthcoming in 2016; officially on-line published on October 1, 2015 at http://spp.oxfordjournals.org/content/early/2015/10/01/scipol.scv056.full.pdf+html?sid=6f177093-4da0-470e-90a8-</w:t>
      </w:r>
      <w:proofErr w:type="gramStart"/>
      <w:r w:rsidRPr="0040147F">
        <w:rPr>
          <w:rFonts w:ascii="微软雅黑" w:eastAsia="微软雅黑" w:hAnsi="微软雅黑" w:cs="Times New Roman" w:hint="eastAsia"/>
          <w:color w:val="313131"/>
          <w:kern w:val="0"/>
          <w:sz w:val="21"/>
          <w:szCs w:val="21"/>
        </w:rPr>
        <w:t>59c6759ad8a7 )</w:t>
      </w:r>
      <w:proofErr w:type="gramEnd"/>
      <w:r w:rsidRPr="0040147F">
        <w:rPr>
          <w:rFonts w:ascii="微软雅黑" w:eastAsia="微软雅黑" w:hAnsi="微软雅黑" w:cs="Times New Roman" w:hint="eastAsia"/>
          <w:color w:val="313131"/>
          <w:kern w:val="0"/>
          <w:sz w:val="21"/>
          <w:szCs w:val="21"/>
        </w:rPr>
        <w:br/>
        <w:t>2、封凯栋，赵亭亭，付震宇，2015，“生产设备与劳动者技能关系在工业发展中的重要性：从工业4.0模式谈起”，《经济社会体制比较》，2015年第4期，第42-55页</w:t>
      </w:r>
      <w:r w:rsidRPr="0040147F">
        <w:rPr>
          <w:rFonts w:ascii="微软雅黑" w:eastAsia="微软雅黑" w:hAnsi="微软雅黑" w:cs="Times New Roman" w:hint="eastAsia"/>
          <w:color w:val="313131"/>
          <w:kern w:val="0"/>
          <w:sz w:val="21"/>
          <w:szCs w:val="21"/>
        </w:rPr>
        <w:br/>
        <w:t xml:space="preserve">3、Feng, </w:t>
      </w:r>
      <w:proofErr w:type="spellStart"/>
      <w:r w:rsidRPr="0040147F">
        <w:rPr>
          <w:rFonts w:ascii="微软雅黑" w:eastAsia="微软雅黑" w:hAnsi="微软雅黑" w:cs="Times New Roman" w:hint="eastAsia"/>
          <w:color w:val="313131"/>
          <w:kern w:val="0"/>
          <w:sz w:val="21"/>
          <w:szCs w:val="21"/>
        </w:rPr>
        <w:t>Kaidong</w:t>
      </w:r>
      <w:proofErr w:type="spellEnd"/>
      <w:r w:rsidRPr="0040147F">
        <w:rPr>
          <w:rFonts w:ascii="微软雅黑" w:eastAsia="微软雅黑" w:hAnsi="微软雅黑" w:cs="Times New Roman" w:hint="eastAsia"/>
          <w:color w:val="313131"/>
          <w:kern w:val="0"/>
          <w:sz w:val="21"/>
          <w:szCs w:val="21"/>
        </w:rPr>
        <w:t xml:space="preserve">. </w:t>
      </w:r>
      <w:proofErr w:type="spellStart"/>
      <w:proofErr w:type="gramStart"/>
      <w:r w:rsidRPr="0040147F">
        <w:rPr>
          <w:rFonts w:ascii="微软雅黑" w:eastAsia="微软雅黑" w:hAnsi="微软雅黑" w:cs="Times New Roman" w:hint="eastAsia"/>
          <w:color w:val="313131"/>
          <w:kern w:val="0"/>
          <w:sz w:val="21"/>
          <w:szCs w:val="21"/>
        </w:rPr>
        <w:t>Qunhong</w:t>
      </w:r>
      <w:proofErr w:type="spellEnd"/>
      <w:r w:rsidRPr="0040147F">
        <w:rPr>
          <w:rFonts w:ascii="微软雅黑" w:eastAsia="微软雅黑" w:hAnsi="微软雅黑" w:cs="Times New Roman" w:hint="eastAsia"/>
          <w:color w:val="313131"/>
          <w:kern w:val="0"/>
          <w:sz w:val="21"/>
          <w:szCs w:val="21"/>
        </w:rPr>
        <w:t xml:space="preserve"> Shen, and </w:t>
      </w:r>
      <w:proofErr w:type="spellStart"/>
      <w:r w:rsidRPr="0040147F">
        <w:rPr>
          <w:rFonts w:ascii="微软雅黑" w:eastAsia="微软雅黑" w:hAnsi="微软雅黑" w:cs="Times New Roman" w:hint="eastAsia"/>
          <w:color w:val="313131"/>
          <w:kern w:val="0"/>
          <w:sz w:val="21"/>
          <w:szCs w:val="21"/>
        </w:rPr>
        <w:t>Shuming</w:t>
      </w:r>
      <w:proofErr w:type="spellEnd"/>
      <w:r w:rsidRPr="0040147F">
        <w:rPr>
          <w:rFonts w:ascii="微软雅黑" w:eastAsia="微软雅黑" w:hAnsi="微软雅黑" w:cs="Times New Roman" w:hint="eastAsia"/>
          <w:color w:val="313131"/>
          <w:kern w:val="0"/>
          <w:sz w:val="21"/>
          <w:szCs w:val="21"/>
        </w:rPr>
        <w:t xml:space="preserve"> Zhao, 2014.</w:t>
      </w:r>
      <w:proofErr w:type="gramEnd"/>
      <w:r w:rsidRPr="0040147F">
        <w:rPr>
          <w:rFonts w:ascii="微软雅黑" w:eastAsia="微软雅黑" w:hAnsi="微软雅黑" w:cs="Times New Roman" w:hint="eastAsia"/>
          <w:color w:val="313131"/>
          <w:kern w:val="0"/>
          <w:sz w:val="21"/>
          <w:szCs w:val="21"/>
        </w:rPr>
        <w:t xml:space="preserve"> Institutional influence, cognition and competence of top managers and innovative firms: the case of Chinese power equipment firms. </w:t>
      </w:r>
      <w:proofErr w:type="gramStart"/>
      <w:r w:rsidRPr="0040147F">
        <w:rPr>
          <w:rFonts w:ascii="微软雅黑" w:eastAsia="微软雅黑" w:hAnsi="微软雅黑" w:cs="Times New Roman" w:hint="eastAsia"/>
          <w:color w:val="313131"/>
          <w:kern w:val="0"/>
          <w:sz w:val="21"/>
          <w:szCs w:val="21"/>
        </w:rPr>
        <w:t>Chinese Management Studies.</w:t>
      </w:r>
      <w:proofErr w:type="gramEnd"/>
      <w:r w:rsidRPr="0040147F">
        <w:rPr>
          <w:rFonts w:ascii="微软雅黑" w:eastAsia="微软雅黑" w:hAnsi="微软雅黑" w:cs="Times New Roman" w:hint="eastAsia"/>
          <w:color w:val="313131"/>
          <w:kern w:val="0"/>
          <w:sz w:val="21"/>
          <w:szCs w:val="21"/>
        </w:rPr>
        <w:t xml:space="preserve"> Vol.8 No.1, pp:41-65</w:t>
      </w:r>
      <w:r w:rsidRPr="0040147F">
        <w:rPr>
          <w:rFonts w:ascii="微软雅黑" w:eastAsia="微软雅黑" w:hAnsi="微软雅黑" w:cs="Times New Roman" w:hint="eastAsia"/>
          <w:color w:val="313131"/>
          <w:kern w:val="0"/>
          <w:sz w:val="21"/>
          <w:szCs w:val="21"/>
        </w:rPr>
        <w:br/>
        <w:t>4、沈群红，封凯栋. 2014，“企业组织战略导向、资源配置与技术创新：对不同企业组织</w:t>
      </w:r>
      <w:r w:rsidRPr="0040147F">
        <w:rPr>
          <w:rFonts w:ascii="微软雅黑" w:eastAsia="微软雅黑" w:hAnsi="微软雅黑" w:cs="Times New Roman" w:hint="eastAsia"/>
          <w:color w:val="313131"/>
          <w:kern w:val="0"/>
          <w:sz w:val="21"/>
          <w:szCs w:val="21"/>
        </w:rPr>
        <w:lastRenderedPageBreak/>
        <w:t>系统的比较研究”，《江苏行政学院学报》，2014年第2期，第51-57页</w:t>
      </w:r>
      <w:r w:rsidRPr="0040147F">
        <w:rPr>
          <w:rFonts w:ascii="微软雅黑" w:eastAsia="微软雅黑" w:hAnsi="微软雅黑" w:cs="Times New Roman" w:hint="eastAsia"/>
          <w:color w:val="313131"/>
          <w:kern w:val="0"/>
          <w:sz w:val="21"/>
          <w:szCs w:val="21"/>
        </w:rPr>
        <w:br/>
        <w:t>5、封凯栋，“源头性技术创新与国家创新系统”，《中国科技论坛》，2013年03月期，第5到10页</w:t>
      </w:r>
      <w:r w:rsidRPr="0040147F">
        <w:rPr>
          <w:rFonts w:ascii="微软雅黑" w:eastAsia="微软雅黑" w:hAnsi="微软雅黑" w:cs="Times New Roman" w:hint="eastAsia"/>
          <w:color w:val="313131"/>
          <w:kern w:val="0"/>
          <w:sz w:val="21"/>
          <w:szCs w:val="21"/>
        </w:rPr>
        <w:br/>
        <w:t>6、封凯栋，“传统产业与高新技术结合应是国家创新体系的核心”，《宏观经济研究》，2013年02月期，第3到9，33页</w:t>
      </w:r>
      <w:r w:rsidRPr="0040147F">
        <w:rPr>
          <w:rFonts w:ascii="微软雅黑" w:eastAsia="微软雅黑" w:hAnsi="微软雅黑" w:cs="Times New Roman" w:hint="eastAsia"/>
          <w:color w:val="313131"/>
          <w:kern w:val="0"/>
          <w:sz w:val="21"/>
          <w:szCs w:val="21"/>
        </w:rPr>
        <w:br/>
        <w:t>7、封凯栋，沈群红，2013，“面向创新发展的资源配置”，《科学学研究》，2013年第一期，第123到130, 140页</w:t>
      </w:r>
      <w:r w:rsidRPr="0040147F">
        <w:rPr>
          <w:rFonts w:ascii="微软雅黑" w:eastAsia="微软雅黑" w:hAnsi="微软雅黑" w:cs="Times New Roman" w:hint="eastAsia"/>
          <w:color w:val="313131"/>
          <w:kern w:val="0"/>
          <w:sz w:val="21"/>
          <w:szCs w:val="21"/>
        </w:rPr>
        <w:br/>
        <w:t>8、封凯栋，2012，“发展转型与自主创新：基于工业革命历史经验的讨论”，《经济社会体制比较》，2012年第六期，第24到35页</w:t>
      </w:r>
      <w:r w:rsidRPr="0040147F">
        <w:rPr>
          <w:rFonts w:ascii="微软雅黑" w:eastAsia="微软雅黑" w:hAnsi="微软雅黑" w:cs="Times New Roman" w:hint="eastAsia"/>
          <w:color w:val="313131"/>
          <w:kern w:val="0"/>
          <w:sz w:val="21"/>
          <w:szCs w:val="21"/>
        </w:rPr>
        <w:br/>
        <w:t>9、封凯栋，赵亭亭，2012，“专利制度的两面性：历史与现状”，《企业管理》2012年增刊，第282到286页</w:t>
      </w:r>
      <w:r w:rsidRPr="0040147F">
        <w:rPr>
          <w:rFonts w:ascii="微软雅黑" w:eastAsia="微软雅黑" w:hAnsi="微软雅黑" w:cs="Times New Roman" w:hint="eastAsia"/>
          <w:color w:val="313131"/>
          <w:kern w:val="0"/>
          <w:sz w:val="21"/>
          <w:szCs w:val="21"/>
        </w:rPr>
        <w:br/>
        <w:t>10、封凯栋，2012，“知识的生产与转变经济发展方式”，《科学学与科学技术管理》，2012年第一期，126-133页</w:t>
      </w:r>
      <w:r w:rsidRPr="0040147F">
        <w:rPr>
          <w:rFonts w:ascii="微软雅黑" w:eastAsia="微软雅黑" w:hAnsi="微软雅黑" w:cs="Times New Roman" w:hint="eastAsia"/>
          <w:color w:val="313131"/>
          <w:kern w:val="0"/>
          <w:sz w:val="21"/>
          <w:szCs w:val="21"/>
        </w:rPr>
        <w:br/>
        <w:t>11、封凯栋，2011年，“国家创新系统：制度与演化的视角”，《国家行政学院学报》，2011年第3期，第120到124页</w:t>
      </w:r>
      <w:r w:rsidRPr="0040147F">
        <w:rPr>
          <w:rFonts w:ascii="微软雅黑" w:eastAsia="微软雅黑" w:hAnsi="微软雅黑" w:cs="Times New Roman" w:hint="eastAsia"/>
          <w:color w:val="313131"/>
          <w:kern w:val="0"/>
          <w:sz w:val="21"/>
          <w:szCs w:val="21"/>
        </w:rPr>
        <w:br/>
        <w:t xml:space="preserve">12、Shen, Q. </w:t>
      </w:r>
      <w:proofErr w:type="gramStart"/>
      <w:r w:rsidRPr="0040147F">
        <w:rPr>
          <w:rFonts w:ascii="微软雅黑" w:eastAsia="微软雅黑" w:hAnsi="微软雅黑" w:cs="Times New Roman" w:hint="eastAsia"/>
          <w:color w:val="313131"/>
          <w:kern w:val="0"/>
          <w:sz w:val="21"/>
          <w:szCs w:val="21"/>
        </w:rPr>
        <w:t>and</w:t>
      </w:r>
      <w:proofErr w:type="gramEnd"/>
      <w:r w:rsidRPr="0040147F">
        <w:rPr>
          <w:rFonts w:ascii="微软雅黑" w:eastAsia="微软雅黑" w:hAnsi="微软雅黑" w:cs="Times New Roman" w:hint="eastAsia"/>
          <w:color w:val="313131"/>
          <w:kern w:val="0"/>
          <w:sz w:val="21"/>
          <w:szCs w:val="21"/>
        </w:rPr>
        <w:t xml:space="preserve"> K. Feng, 2010, “From Production Capacity to Technological Capability: institutional influences on technological learning”. </w:t>
      </w:r>
      <w:proofErr w:type="gramStart"/>
      <w:r w:rsidRPr="0040147F">
        <w:rPr>
          <w:rFonts w:ascii="微软雅黑" w:eastAsia="微软雅黑" w:hAnsi="微软雅黑" w:cs="Times New Roman" w:hint="eastAsia"/>
          <w:color w:val="313131"/>
          <w:kern w:val="0"/>
          <w:sz w:val="21"/>
          <w:szCs w:val="21"/>
        </w:rPr>
        <w:t>International Journal of Technology Management.</w:t>
      </w:r>
      <w:proofErr w:type="gramEnd"/>
      <w:r w:rsidRPr="0040147F">
        <w:rPr>
          <w:rFonts w:ascii="微软雅黑" w:eastAsia="微软雅黑" w:hAnsi="微软雅黑" w:cs="Times New Roman" w:hint="eastAsia"/>
          <w:color w:val="313131"/>
          <w:kern w:val="0"/>
          <w:sz w:val="21"/>
          <w:szCs w:val="21"/>
        </w:rPr>
        <w:t xml:space="preserve"> </w:t>
      </w:r>
      <w:proofErr w:type="gramStart"/>
      <w:r w:rsidRPr="0040147F">
        <w:rPr>
          <w:rFonts w:ascii="微软雅黑" w:eastAsia="微软雅黑" w:hAnsi="微软雅黑" w:cs="Times New Roman" w:hint="eastAsia"/>
          <w:color w:val="313131"/>
          <w:kern w:val="0"/>
          <w:sz w:val="21"/>
          <w:szCs w:val="21"/>
        </w:rPr>
        <w:t>Vol. 51, No.2/3/4, pp258-281.</w:t>
      </w:r>
      <w:proofErr w:type="gramEnd"/>
      <w:r w:rsidRPr="0040147F">
        <w:rPr>
          <w:rFonts w:ascii="微软雅黑" w:eastAsia="微软雅黑" w:hAnsi="微软雅黑" w:cs="Times New Roman" w:hint="eastAsia"/>
          <w:color w:val="313131"/>
          <w:kern w:val="0"/>
          <w:sz w:val="21"/>
          <w:szCs w:val="21"/>
        </w:rPr>
        <w:br/>
        <w:t>13、封凯栋，尹同耀，王彦敏，2007年，“奇瑞的创新模式”，《中国软科学》，2007年第3期，第76到84页</w:t>
      </w:r>
      <w:r w:rsidRPr="0040147F">
        <w:rPr>
          <w:rFonts w:ascii="微软雅黑" w:eastAsia="微软雅黑" w:hAnsi="微软雅黑" w:cs="Times New Roman" w:hint="eastAsia"/>
          <w:color w:val="313131"/>
          <w:kern w:val="0"/>
          <w:sz w:val="21"/>
          <w:szCs w:val="21"/>
        </w:rPr>
        <w:br/>
        <w:t>14、梅永红，封凯栋，2005年，“吉利造车现象：关于吉利自主创新的调研报告”，《中国软科学》，2005年第11期，第1到10页。</w:t>
      </w:r>
      <w:r w:rsidRPr="0040147F">
        <w:rPr>
          <w:rFonts w:ascii="微软雅黑" w:eastAsia="微软雅黑" w:hAnsi="微软雅黑" w:cs="Times New Roman" w:hint="eastAsia"/>
          <w:color w:val="313131"/>
          <w:kern w:val="0"/>
          <w:sz w:val="21"/>
          <w:szCs w:val="21"/>
        </w:rPr>
        <w:br/>
        <w:t>15、路风，封凯栋，2004年，“为什么自主开发是学习外国技术的最佳途径?--以日韩两国汽车工业发展经验为例”，《中国软科学》，2004年第4期，第6到11页</w:t>
      </w:r>
      <w:r w:rsidRPr="0040147F">
        <w:rPr>
          <w:rFonts w:ascii="微软雅黑" w:eastAsia="微软雅黑" w:hAnsi="微软雅黑" w:cs="Times New Roman" w:hint="eastAsia"/>
          <w:color w:val="313131"/>
          <w:kern w:val="0"/>
          <w:sz w:val="21"/>
          <w:szCs w:val="21"/>
        </w:rPr>
        <w:br/>
        <w:t>16、沈群红，封凯栋，2002年，“组织能力, 制度环境与知识整合模式的选择”，《中国软科学》，2002年第12期，第81-87页</w:t>
      </w:r>
    </w:p>
    <w:p w14:paraId="7156F6E9" w14:textId="77777777" w:rsidR="00A93AD8" w:rsidRPr="0040147F" w:rsidRDefault="00A93AD8" w:rsidP="00A93AD8">
      <w:pPr>
        <w:widowControl/>
        <w:spacing w:line="525" w:lineRule="atLeast"/>
        <w:jc w:val="right"/>
        <w:rPr>
          <w:rFonts w:ascii="微软雅黑" w:eastAsia="微软雅黑" w:hAnsi="微软雅黑" w:cs="Times New Roman"/>
          <w:color w:val="666666"/>
          <w:kern w:val="0"/>
          <w:sz w:val="21"/>
          <w:szCs w:val="21"/>
        </w:rPr>
      </w:pPr>
    </w:p>
    <w:p w14:paraId="304B367E" w14:textId="77777777" w:rsidR="00A93AD8" w:rsidRPr="0040147F" w:rsidRDefault="00A93AD8">
      <w:pPr>
        <w:rPr>
          <w:rFonts w:ascii="微软雅黑" w:eastAsia="微软雅黑" w:hAnsi="微软雅黑"/>
          <w:b/>
          <w:sz w:val="21"/>
          <w:szCs w:val="21"/>
        </w:rPr>
      </w:pPr>
      <w:r w:rsidRPr="0040147F">
        <w:rPr>
          <w:rFonts w:ascii="微软雅黑" w:eastAsia="微软雅黑" w:hAnsi="微软雅黑" w:hint="eastAsia"/>
          <w:b/>
          <w:sz w:val="21"/>
          <w:szCs w:val="21"/>
        </w:rPr>
        <w:t>当前研究</w:t>
      </w:r>
    </w:p>
    <w:p w14:paraId="50763E56" w14:textId="77777777" w:rsidR="00A93AD8" w:rsidRPr="0040147F" w:rsidRDefault="00A93AD8" w:rsidP="00A93AD8">
      <w:pPr>
        <w:widowControl/>
        <w:jc w:val="left"/>
        <w:rPr>
          <w:rFonts w:ascii="微软雅黑" w:eastAsia="微软雅黑" w:hAnsi="微软雅黑" w:cs="Times New Roman"/>
          <w:color w:val="313131"/>
          <w:kern w:val="0"/>
          <w:sz w:val="21"/>
          <w:szCs w:val="21"/>
        </w:rPr>
      </w:pPr>
      <w:r w:rsidRPr="0040147F">
        <w:rPr>
          <w:rFonts w:ascii="微软雅黑" w:eastAsia="微软雅黑" w:hAnsi="微软雅黑" w:cs="Times New Roman" w:hint="eastAsia"/>
          <w:color w:val="313131"/>
          <w:kern w:val="0"/>
          <w:sz w:val="21"/>
          <w:szCs w:val="21"/>
        </w:rPr>
        <w:t>1、企业高层决策者的认知对创新投资倾向的影响研究（自科基金，2013-2015）</w:t>
      </w:r>
      <w:r w:rsidRPr="0040147F">
        <w:rPr>
          <w:rFonts w:ascii="微软雅黑" w:eastAsia="微软雅黑" w:hAnsi="微软雅黑" w:cs="Times New Roman" w:hint="eastAsia"/>
          <w:color w:val="313131"/>
          <w:kern w:val="0"/>
          <w:sz w:val="21"/>
          <w:szCs w:val="21"/>
        </w:rPr>
        <w:br/>
        <w:t>2、新型创新载体效率优势及其制度化整合机制研究（自科基金，2017-2020）</w:t>
      </w:r>
    </w:p>
    <w:p w14:paraId="63425CC8" w14:textId="77777777" w:rsidR="00A93AD8" w:rsidRPr="0040147F" w:rsidRDefault="00A93AD8" w:rsidP="00A93AD8">
      <w:pPr>
        <w:widowControl/>
        <w:spacing w:line="525" w:lineRule="atLeast"/>
        <w:jc w:val="right"/>
        <w:rPr>
          <w:rFonts w:ascii="微软雅黑" w:eastAsia="微软雅黑" w:hAnsi="微软雅黑" w:cs="Times New Roman"/>
          <w:color w:val="666666"/>
          <w:kern w:val="0"/>
          <w:sz w:val="21"/>
          <w:szCs w:val="21"/>
        </w:rPr>
      </w:pPr>
    </w:p>
    <w:p w14:paraId="03EE41F2" w14:textId="77777777" w:rsidR="00A93AD8" w:rsidRPr="0040147F" w:rsidRDefault="00A93AD8">
      <w:pPr>
        <w:rPr>
          <w:rFonts w:ascii="微软雅黑" w:eastAsia="微软雅黑" w:hAnsi="微软雅黑"/>
          <w:b/>
          <w:sz w:val="21"/>
          <w:szCs w:val="21"/>
        </w:rPr>
      </w:pPr>
      <w:bookmarkStart w:id="0" w:name="_GoBack"/>
      <w:r w:rsidRPr="0040147F">
        <w:rPr>
          <w:rFonts w:ascii="微软雅黑" w:eastAsia="微软雅黑" w:hAnsi="微软雅黑" w:hint="eastAsia"/>
          <w:b/>
          <w:sz w:val="21"/>
          <w:szCs w:val="21"/>
        </w:rPr>
        <w:t>教授课程</w:t>
      </w:r>
    </w:p>
    <w:bookmarkEnd w:id="0"/>
    <w:p w14:paraId="666499DC" w14:textId="77777777" w:rsidR="00A93AD8" w:rsidRPr="0040147F" w:rsidRDefault="00A93AD8" w:rsidP="00A93AD8">
      <w:pPr>
        <w:widowControl/>
        <w:jc w:val="left"/>
        <w:rPr>
          <w:rFonts w:ascii="微软雅黑" w:eastAsia="微软雅黑" w:hAnsi="微软雅黑" w:cs="Times New Roman"/>
          <w:color w:val="313131"/>
          <w:kern w:val="0"/>
          <w:sz w:val="21"/>
          <w:szCs w:val="21"/>
        </w:rPr>
      </w:pPr>
      <w:r w:rsidRPr="0040147F">
        <w:rPr>
          <w:rFonts w:ascii="微软雅黑" w:eastAsia="微软雅黑" w:hAnsi="微软雅黑" w:cs="Times New Roman" w:hint="eastAsia"/>
          <w:color w:val="313131"/>
          <w:kern w:val="0"/>
          <w:sz w:val="21"/>
          <w:szCs w:val="21"/>
        </w:rPr>
        <w:lastRenderedPageBreak/>
        <w:t>1、本科生</w:t>
      </w:r>
      <w:r w:rsidRPr="0040147F">
        <w:rPr>
          <w:rFonts w:ascii="微软雅黑" w:eastAsia="微软雅黑" w:hAnsi="微软雅黑" w:cs="Times New Roman" w:hint="eastAsia"/>
          <w:color w:val="313131"/>
          <w:kern w:val="0"/>
          <w:sz w:val="21"/>
          <w:szCs w:val="21"/>
        </w:rPr>
        <w:br/>
        <w:t>论文写作与研究方法</w:t>
      </w:r>
      <w:r w:rsidRPr="0040147F">
        <w:rPr>
          <w:rFonts w:ascii="微软雅黑" w:eastAsia="微软雅黑" w:hAnsi="微软雅黑" w:cs="Times New Roman" w:hint="eastAsia"/>
          <w:color w:val="313131"/>
          <w:kern w:val="0"/>
          <w:sz w:val="21"/>
          <w:szCs w:val="21"/>
        </w:rPr>
        <w:br/>
        <w:t>工业革命与市场经济</w:t>
      </w:r>
      <w:r w:rsidRPr="0040147F">
        <w:rPr>
          <w:rFonts w:ascii="微软雅黑" w:eastAsia="微软雅黑" w:hAnsi="微软雅黑" w:cs="Times New Roman" w:hint="eastAsia"/>
          <w:color w:val="313131"/>
          <w:kern w:val="0"/>
          <w:sz w:val="21"/>
          <w:szCs w:val="21"/>
        </w:rPr>
        <w:br/>
        <w:t>2、研究生</w:t>
      </w:r>
      <w:r w:rsidRPr="0040147F">
        <w:rPr>
          <w:rFonts w:ascii="微软雅黑" w:eastAsia="微软雅黑" w:hAnsi="微软雅黑" w:cs="Times New Roman" w:hint="eastAsia"/>
          <w:color w:val="313131"/>
          <w:kern w:val="0"/>
          <w:sz w:val="21"/>
          <w:szCs w:val="21"/>
        </w:rPr>
        <w:br/>
        <w:t>制度变迁与技术进步</w:t>
      </w:r>
      <w:r w:rsidRPr="0040147F">
        <w:rPr>
          <w:rFonts w:ascii="微软雅黑" w:eastAsia="微软雅黑" w:hAnsi="微软雅黑" w:cs="Times New Roman" w:hint="eastAsia"/>
          <w:color w:val="313131"/>
          <w:kern w:val="0"/>
          <w:sz w:val="21"/>
          <w:szCs w:val="21"/>
        </w:rPr>
        <w:br/>
        <w:t>演化理论基础</w:t>
      </w:r>
      <w:r w:rsidRPr="0040147F">
        <w:rPr>
          <w:rFonts w:ascii="微软雅黑" w:eastAsia="微软雅黑" w:hAnsi="微软雅黑" w:cs="Times New Roman" w:hint="eastAsia"/>
          <w:color w:val="313131"/>
          <w:kern w:val="0"/>
          <w:sz w:val="21"/>
          <w:szCs w:val="21"/>
        </w:rPr>
        <w:br/>
        <w:t>工业化与市场经济</w:t>
      </w:r>
      <w:r w:rsidRPr="0040147F">
        <w:rPr>
          <w:rFonts w:ascii="微软雅黑" w:eastAsia="微软雅黑" w:hAnsi="微软雅黑" w:cs="Times New Roman" w:hint="eastAsia"/>
          <w:color w:val="313131"/>
          <w:kern w:val="0"/>
          <w:sz w:val="21"/>
          <w:szCs w:val="21"/>
        </w:rPr>
        <w:br/>
        <w:t>研究设计</w:t>
      </w:r>
      <w:r w:rsidRPr="0040147F">
        <w:rPr>
          <w:rFonts w:ascii="微软雅黑" w:eastAsia="微软雅黑" w:hAnsi="微软雅黑" w:cs="Times New Roman" w:hint="eastAsia"/>
          <w:color w:val="313131"/>
          <w:kern w:val="0"/>
          <w:sz w:val="21"/>
          <w:szCs w:val="21"/>
        </w:rPr>
        <w:br/>
        <w:t>3、MPA</w:t>
      </w:r>
      <w:r w:rsidRPr="0040147F">
        <w:rPr>
          <w:rFonts w:ascii="微软雅黑" w:eastAsia="微软雅黑" w:hAnsi="微软雅黑" w:cs="Times New Roman" w:hint="eastAsia"/>
          <w:color w:val="313131"/>
          <w:kern w:val="0"/>
          <w:sz w:val="21"/>
          <w:szCs w:val="21"/>
        </w:rPr>
        <w:br/>
        <w:t>制度演进与发展管理</w:t>
      </w:r>
      <w:r w:rsidRPr="0040147F">
        <w:rPr>
          <w:rFonts w:ascii="微软雅黑" w:eastAsia="微软雅黑" w:hAnsi="微软雅黑" w:cs="Times New Roman" w:hint="eastAsia"/>
          <w:color w:val="313131"/>
          <w:kern w:val="0"/>
          <w:sz w:val="21"/>
          <w:szCs w:val="21"/>
        </w:rPr>
        <w:br/>
        <w:t>4、MPP</w:t>
      </w:r>
      <w:r w:rsidRPr="0040147F">
        <w:rPr>
          <w:rFonts w:ascii="微软雅黑" w:eastAsia="微软雅黑" w:hAnsi="微软雅黑" w:cs="Times New Roman" w:hint="eastAsia"/>
          <w:color w:val="313131"/>
          <w:kern w:val="0"/>
          <w:sz w:val="21"/>
          <w:szCs w:val="21"/>
        </w:rPr>
        <w:br/>
        <w:t>创新与经济发展（Innovation and Economic Development）</w:t>
      </w:r>
    </w:p>
    <w:p w14:paraId="3C6F688F" w14:textId="77777777" w:rsidR="00A93AD8" w:rsidRPr="0040147F" w:rsidRDefault="00A93AD8" w:rsidP="00A93AD8">
      <w:pPr>
        <w:widowControl/>
        <w:spacing w:line="525" w:lineRule="atLeast"/>
        <w:jc w:val="right"/>
        <w:rPr>
          <w:rFonts w:ascii="微软雅黑" w:eastAsia="微软雅黑" w:hAnsi="微软雅黑" w:cs="Times New Roman"/>
          <w:color w:val="666666"/>
          <w:kern w:val="0"/>
          <w:sz w:val="21"/>
          <w:szCs w:val="21"/>
        </w:rPr>
      </w:pPr>
    </w:p>
    <w:p w14:paraId="190B1569" w14:textId="77777777" w:rsidR="00A93AD8" w:rsidRPr="0040147F" w:rsidRDefault="00A93AD8">
      <w:pPr>
        <w:rPr>
          <w:rFonts w:ascii="微软雅黑" w:eastAsia="微软雅黑" w:hAnsi="微软雅黑"/>
          <w:sz w:val="21"/>
          <w:szCs w:val="21"/>
        </w:rPr>
      </w:pPr>
    </w:p>
    <w:sectPr w:rsidR="00A93AD8" w:rsidRPr="0040147F" w:rsidSect="00936273">
      <w:pgSz w:w="11900" w:h="16840"/>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AD8"/>
    <w:rsid w:val="00054F27"/>
    <w:rsid w:val="0040147F"/>
    <w:rsid w:val="005D481D"/>
    <w:rsid w:val="00936273"/>
    <w:rsid w:val="00A93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5003"/>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3AD8"/>
    <w:pPr>
      <w:widowControl/>
      <w:spacing w:before="100" w:beforeAutospacing="1" w:after="100" w:afterAutospacing="1"/>
      <w:jc w:val="left"/>
    </w:pPr>
    <w:rPr>
      <w:rFonts w:ascii="Times New Roman" w:hAnsi="Times New Roman" w:cs="Times New Roman"/>
      <w:kern w:val="0"/>
    </w:rPr>
  </w:style>
  <w:style w:type="character" w:styleId="a4">
    <w:name w:val="Strong"/>
    <w:basedOn w:val="a0"/>
    <w:uiPriority w:val="22"/>
    <w:qFormat/>
    <w:rsid w:val="00A93AD8"/>
    <w:rPr>
      <w:b/>
      <w:bCs/>
    </w:rPr>
  </w:style>
  <w:style w:type="paragraph" w:styleId="a5">
    <w:name w:val="Balloon Text"/>
    <w:basedOn w:val="a"/>
    <w:link w:val="Char"/>
    <w:uiPriority w:val="99"/>
    <w:semiHidden/>
    <w:unhideWhenUsed/>
    <w:rsid w:val="005D481D"/>
    <w:rPr>
      <w:sz w:val="18"/>
      <w:szCs w:val="18"/>
    </w:rPr>
  </w:style>
  <w:style w:type="character" w:customStyle="1" w:styleId="Char">
    <w:name w:val="批注框文本 Char"/>
    <w:basedOn w:val="a0"/>
    <w:link w:val="a5"/>
    <w:uiPriority w:val="99"/>
    <w:semiHidden/>
    <w:rsid w:val="005D481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3AD8"/>
    <w:pPr>
      <w:widowControl/>
      <w:spacing w:before="100" w:beforeAutospacing="1" w:after="100" w:afterAutospacing="1"/>
      <w:jc w:val="left"/>
    </w:pPr>
    <w:rPr>
      <w:rFonts w:ascii="Times New Roman" w:hAnsi="Times New Roman" w:cs="Times New Roman"/>
      <w:kern w:val="0"/>
    </w:rPr>
  </w:style>
  <w:style w:type="character" w:styleId="a4">
    <w:name w:val="Strong"/>
    <w:basedOn w:val="a0"/>
    <w:uiPriority w:val="22"/>
    <w:qFormat/>
    <w:rsid w:val="00A93AD8"/>
    <w:rPr>
      <w:b/>
      <w:bCs/>
    </w:rPr>
  </w:style>
  <w:style w:type="paragraph" w:styleId="a5">
    <w:name w:val="Balloon Text"/>
    <w:basedOn w:val="a"/>
    <w:link w:val="Char"/>
    <w:uiPriority w:val="99"/>
    <w:semiHidden/>
    <w:unhideWhenUsed/>
    <w:rsid w:val="005D481D"/>
    <w:rPr>
      <w:sz w:val="18"/>
      <w:szCs w:val="18"/>
    </w:rPr>
  </w:style>
  <w:style w:type="character" w:customStyle="1" w:styleId="Char">
    <w:name w:val="批注框文本 Char"/>
    <w:basedOn w:val="a0"/>
    <w:link w:val="a5"/>
    <w:uiPriority w:val="99"/>
    <w:semiHidden/>
    <w:rsid w:val="005D481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40991">
      <w:bodyDiv w:val="1"/>
      <w:marLeft w:val="0"/>
      <w:marRight w:val="0"/>
      <w:marTop w:val="0"/>
      <w:marBottom w:val="0"/>
      <w:divBdr>
        <w:top w:val="none" w:sz="0" w:space="0" w:color="auto"/>
        <w:left w:val="none" w:sz="0" w:space="0" w:color="auto"/>
        <w:bottom w:val="none" w:sz="0" w:space="0" w:color="auto"/>
        <w:right w:val="none" w:sz="0" w:space="0" w:color="auto"/>
      </w:divBdr>
    </w:div>
    <w:div w:id="190843373">
      <w:bodyDiv w:val="1"/>
      <w:marLeft w:val="0"/>
      <w:marRight w:val="0"/>
      <w:marTop w:val="0"/>
      <w:marBottom w:val="0"/>
      <w:divBdr>
        <w:top w:val="none" w:sz="0" w:space="0" w:color="auto"/>
        <w:left w:val="none" w:sz="0" w:space="0" w:color="auto"/>
        <w:bottom w:val="none" w:sz="0" w:space="0" w:color="auto"/>
        <w:right w:val="none" w:sz="0" w:space="0" w:color="auto"/>
      </w:divBdr>
      <w:divsChild>
        <w:div w:id="1318726859">
          <w:marLeft w:val="0"/>
          <w:marRight w:val="0"/>
          <w:marTop w:val="150"/>
          <w:marBottom w:val="0"/>
          <w:divBdr>
            <w:top w:val="none" w:sz="0" w:space="0" w:color="auto"/>
            <w:left w:val="none" w:sz="0" w:space="0" w:color="auto"/>
            <w:bottom w:val="none" w:sz="0" w:space="0" w:color="auto"/>
            <w:right w:val="none" w:sz="0" w:space="0" w:color="auto"/>
          </w:divBdr>
          <w:divsChild>
            <w:div w:id="1045982021">
              <w:marLeft w:val="0"/>
              <w:marRight w:val="0"/>
              <w:marTop w:val="750"/>
              <w:marBottom w:val="150"/>
              <w:divBdr>
                <w:top w:val="none" w:sz="0" w:space="0" w:color="auto"/>
                <w:left w:val="none" w:sz="0" w:space="0" w:color="auto"/>
                <w:bottom w:val="none" w:sz="0" w:space="0" w:color="auto"/>
                <w:right w:val="none" w:sz="0" w:space="0" w:color="auto"/>
              </w:divBdr>
            </w:div>
          </w:divsChild>
        </w:div>
        <w:div w:id="1244800760">
          <w:marLeft w:val="0"/>
          <w:marRight w:val="0"/>
          <w:marTop w:val="150"/>
          <w:marBottom w:val="0"/>
          <w:divBdr>
            <w:top w:val="dotted" w:sz="6" w:space="0" w:color="CCCCCC"/>
            <w:left w:val="none" w:sz="0" w:space="0" w:color="auto"/>
            <w:bottom w:val="none" w:sz="0" w:space="0" w:color="auto"/>
            <w:right w:val="none" w:sz="0" w:space="0" w:color="auto"/>
          </w:divBdr>
          <w:divsChild>
            <w:div w:id="1237546244">
              <w:marLeft w:val="0"/>
              <w:marRight w:val="0"/>
              <w:marTop w:val="0"/>
              <w:marBottom w:val="0"/>
              <w:divBdr>
                <w:top w:val="none" w:sz="0" w:space="0" w:color="auto"/>
                <w:left w:val="none" w:sz="0" w:space="0" w:color="auto"/>
                <w:bottom w:val="none" w:sz="0" w:space="0" w:color="auto"/>
                <w:right w:val="none" w:sz="0" w:space="0" w:color="auto"/>
              </w:divBdr>
              <w:divsChild>
                <w:div w:id="3979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557899">
      <w:bodyDiv w:val="1"/>
      <w:marLeft w:val="0"/>
      <w:marRight w:val="0"/>
      <w:marTop w:val="0"/>
      <w:marBottom w:val="0"/>
      <w:divBdr>
        <w:top w:val="none" w:sz="0" w:space="0" w:color="auto"/>
        <w:left w:val="none" w:sz="0" w:space="0" w:color="auto"/>
        <w:bottom w:val="none" w:sz="0" w:space="0" w:color="auto"/>
        <w:right w:val="none" w:sz="0" w:space="0" w:color="auto"/>
      </w:divBdr>
      <w:divsChild>
        <w:div w:id="339087519">
          <w:marLeft w:val="0"/>
          <w:marRight w:val="0"/>
          <w:marTop w:val="150"/>
          <w:marBottom w:val="0"/>
          <w:divBdr>
            <w:top w:val="none" w:sz="0" w:space="0" w:color="auto"/>
            <w:left w:val="none" w:sz="0" w:space="0" w:color="auto"/>
            <w:bottom w:val="none" w:sz="0" w:space="0" w:color="auto"/>
            <w:right w:val="none" w:sz="0" w:space="0" w:color="auto"/>
          </w:divBdr>
          <w:divsChild>
            <w:div w:id="1308780428">
              <w:marLeft w:val="0"/>
              <w:marRight w:val="0"/>
              <w:marTop w:val="750"/>
              <w:marBottom w:val="150"/>
              <w:divBdr>
                <w:top w:val="none" w:sz="0" w:space="0" w:color="auto"/>
                <w:left w:val="none" w:sz="0" w:space="0" w:color="auto"/>
                <w:bottom w:val="none" w:sz="0" w:space="0" w:color="auto"/>
                <w:right w:val="none" w:sz="0" w:space="0" w:color="auto"/>
              </w:divBdr>
            </w:div>
          </w:divsChild>
        </w:div>
        <w:div w:id="538711589">
          <w:marLeft w:val="0"/>
          <w:marRight w:val="0"/>
          <w:marTop w:val="150"/>
          <w:marBottom w:val="0"/>
          <w:divBdr>
            <w:top w:val="dotted" w:sz="6" w:space="0" w:color="CCCCCC"/>
            <w:left w:val="none" w:sz="0" w:space="0" w:color="auto"/>
            <w:bottom w:val="none" w:sz="0" w:space="0" w:color="auto"/>
            <w:right w:val="none" w:sz="0" w:space="0" w:color="auto"/>
          </w:divBdr>
          <w:divsChild>
            <w:div w:id="1484856556">
              <w:marLeft w:val="0"/>
              <w:marRight w:val="0"/>
              <w:marTop w:val="0"/>
              <w:marBottom w:val="0"/>
              <w:divBdr>
                <w:top w:val="none" w:sz="0" w:space="0" w:color="auto"/>
                <w:left w:val="none" w:sz="0" w:space="0" w:color="auto"/>
                <w:bottom w:val="none" w:sz="0" w:space="0" w:color="auto"/>
                <w:right w:val="none" w:sz="0" w:space="0" w:color="auto"/>
              </w:divBdr>
              <w:divsChild>
                <w:div w:id="100705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075170">
      <w:bodyDiv w:val="1"/>
      <w:marLeft w:val="0"/>
      <w:marRight w:val="0"/>
      <w:marTop w:val="0"/>
      <w:marBottom w:val="0"/>
      <w:divBdr>
        <w:top w:val="none" w:sz="0" w:space="0" w:color="auto"/>
        <w:left w:val="none" w:sz="0" w:space="0" w:color="auto"/>
        <w:bottom w:val="none" w:sz="0" w:space="0" w:color="auto"/>
        <w:right w:val="none" w:sz="0" w:space="0" w:color="auto"/>
      </w:divBdr>
    </w:div>
    <w:div w:id="352070863">
      <w:bodyDiv w:val="1"/>
      <w:marLeft w:val="0"/>
      <w:marRight w:val="0"/>
      <w:marTop w:val="0"/>
      <w:marBottom w:val="0"/>
      <w:divBdr>
        <w:top w:val="none" w:sz="0" w:space="0" w:color="auto"/>
        <w:left w:val="none" w:sz="0" w:space="0" w:color="auto"/>
        <w:bottom w:val="none" w:sz="0" w:space="0" w:color="auto"/>
        <w:right w:val="none" w:sz="0" w:space="0" w:color="auto"/>
      </w:divBdr>
    </w:div>
    <w:div w:id="1021736414">
      <w:bodyDiv w:val="1"/>
      <w:marLeft w:val="0"/>
      <w:marRight w:val="0"/>
      <w:marTop w:val="0"/>
      <w:marBottom w:val="0"/>
      <w:divBdr>
        <w:top w:val="none" w:sz="0" w:space="0" w:color="auto"/>
        <w:left w:val="none" w:sz="0" w:space="0" w:color="auto"/>
        <w:bottom w:val="none" w:sz="0" w:space="0" w:color="auto"/>
        <w:right w:val="none" w:sz="0" w:space="0" w:color="auto"/>
      </w:divBdr>
    </w:div>
    <w:div w:id="1235051328">
      <w:bodyDiv w:val="1"/>
      <w:marLeft w:val="0"/>
      <w:marRight w:val="0"/>
      <w:marTop w:val="0"/>
      <w:marBottom w:val="0"/>
      <w:divBdr>
        <w:top w:val="none" w:sz="0" w:space="0" w:color="auto"/>
        <w:left w:val="none" w:sz="0" w:space="0" w:color="auto"/>
        <w:bottom w:val="none" w:sz="0" w:space="0" w:color="auto"/>
        <w:right w:val="none" w:sz="0" w:space="0" w:color="auto"/>
      </w:divBdr>
    </w:div>
    <w:div w:id="1401292767">
      <w:bodyDiv w:val="1"/>
      <w:marLeft w:val="0"/>
      <w:marRight w:val="0"/>
      <w:marTop w:val="0"/>
      <w:marBottom w:val="0"/>
      <w:divBdr>
        <w:top w:val="none" w:sz="0" w:space="0" w:color="auto"/>
        <w:left w:val="none" w:sz="0" w:space="0" w:color="auto"/>
        <w:bottom w:val="none" w:sz="0" w:space="0" w:color="auto"/>
        <w:right w:val="none" w:sz="0" w:space="0" w:color="auto"/>
      </w:divBdr>
      <w:divsChild>
        <w:div w:id="550649516">
          <w:marLeft w:val="0"/>
          <w:marRight w:val="0"/>
          <w:marTop w:val="150"/>
          <w:marBottom w:val="0"/>
          <w:divBdr>
            <w:top w:val="none" w:sz="0" w:space="0" w:color="auto"/>
            <w:left w:val="none" w:sz="0" w:space="0" w:color="auto"/>
            <w:bottom w:val="none" w:sz="0" w:space="0" w:color="auto"/>
            <w:right w:val="none" w:sz="0" w:space="0" w:color="auto"/>
          </w:divBdr>
          <w:divsChild>
            <w:div w:id="1832788405">
              <w:marLeft w:val="0"/>
              <w:marRight w:val="0"/>
              <w:marTop w:val="750"/>
              <w:marBottom w:val="150"/>
              <w:divBdr>
                <w:top w:val="none" w:sz="0" w:space="0" w:color="auto"/>
                <w:left w:val="none" w:sz="0" w:space="0" w:color="auto"/>
                <w:bottom w:val="none" w:sz="0" w:space="0" w:color="auto"/>
                <w:right w:val="none" w:sz="0" w:space="0" w:color="auto"/>
              </w:divBdr>
            </w:div>
          </w:divsChild>
        </w:div>
        <w:div w:id="160052480">
          <w:marLeft w:val="0"/>
          <w:marRight w:val="0"/>
          <w:marTop w:val="150"/>
          <w:marBottom w:val="0"/>
          <w:divBdr>
            <w:top w:val="dotted" w:sz="6" w:space="0" w:color="CCCCCC"/>
            <w:left w:val="none" w:sz="0" w:space="0" w:color="auto"/>
            <w:bottom w:val="none" w:sz="0" w:space="0" w:color="auto"/>
            <w:right w:val="none" w:sz="0" w:space="0" w:color="auto"/>
          </w:divBdr>
          <w:divsChild>
            <w:div w:id="1104769466">
              <w:marLeft w:val="0"/>
              <w:marRight w:val="0"/>
              <w:marTop w:val="0"/>
              <w:marBottom w:val="0"/>
              <w:divBdr>
                <w:top w:val="none" w:sz="0" w:space="0" w:color="auto"/>
                <w:left w:val="none" w:sz="0" w:space="0" w:color="auto"/>
                <w:bottom w:val="none" w:sz="0" w:space="0" w:color="auto"/>
                <w:right w:val="none" w:sz="0" w:space="0" w:color="auto"/>
              </w:divBdr>
              <w:divsChild>
                <w:div w:id="148566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455</Words>
  <Characters>2599</Characters>
  <Application>Microsoft Office Word</Application>
  <DocSecurity>0</DocSecurity>
  <Lines>21</Lines>
  <Paragraphs>6</Paragraphs>
  <ScaleCrop>false</ScaleCrop>
  <Company/>
  <LinksUpToDate>false</LinksUpToDate>
  <CharactersWithSpaces>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陈志远</dc:creator>
  <cp:keywords/>
  <dc:description/>
  <cp:lastModifiedBy>DELL</cp:lastModifiedBy>
  <cp:revision>4</cp:revision>
  <dcterms:created xsi:type="dcterms:W3CDTF">2018-10-16T07:20:00Z</dcterms:created>
  <dcterms:modified xsi:type="dcterms:W3CDTF">2018-10-30T02:27:00Z</dcterms:modified>
</cp:coreProperties>
</file>