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/>
          <w:noProof/>
        </w:rPr>
        <w:drawing>
          <wp:anchor distT="0" distB="0" distL="114300" distR="114300" simplePos="0" relativeHeight="251658240" behindDoc="0" locked="0" layoutInCell="1" allowOverlap="1" wp14:anchorId="615927EC" wp14:editId="345D6040">
            <wp:simplePos x="0" y="0"/>
            <wp:positionH relativeFrom="column">
              <wp:posOffset>152400</wp:posOffset>
            </wp:positionH>
            <wp:positionV relativeFrom="paragraph">
              <wp:posOffset>320040</wp:posOffset>
            </wp:positionV>
            <wp:extent cx="2707005" cy="1861185"/>
            <wp:effectExtent l="0" t="0" r="0" b="5715"/>
            <wp:wrapSquare wrapText="bothSides"/>
            <wp:docPr id="1" name="图片 1" descr="I:\MPA导师\政治学研究中心\孙明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:\MPA导师\政治学研究中心\孙明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7005" cy="1861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孙明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系别：政治学研究中心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职称：助理教授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办公电话：010-62758864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Email：sunming@pku.edu.cn</w:t>
      </w: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教授简介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孙明，辽宁北镇人，北京大学—香港中文大学历史学博士。</w:t>
      </w: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研究领域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1、明清国家与社会；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2、中国政治思想史；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3、中国政治制度史。</w:t>
      </w: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教育背景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1、2011.01    北京大学历史学系中国近现代史专业  博士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2、2010.12    香港中文大学中国近代史专业        博士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3、2004.06    北京大学历史学系中国近现代史专业  硕士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4、2001.07    北京大学历史学系中国史专业        学士</w:t>
      </w: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职业经历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2017年11月   北京大学中国政治学研究中心  助理教授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研究成果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学术专著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1、孙明：《生逢革命：辛亥前后的政治、社会与人生》，北京大学出版社2013年。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2、孙明：《生活的史学》，上海人民出版社2015年。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论文</w:t>
      </w:r>
    </w:p>
    <w:p w:rsidR="00FB56AA" w:rsidRPr="00B00E64" w:rsidRDefault="00FB56AA" w:rsidP="00FB56AA">
      <w:pPr>
        <w:spacing w:after="156"/>
        <w:rPr>
          <w:rFonts w:ascii="微软雅黑" w:eastAsia="微软雅黑" w:hAnsi="微软雅黑"/>
          <w:szCs w:val="21"/>
        </w:rPr>
      </w:pPr>
      <w:r w:rsidRPr="00B00E64">
        <w:rPr>
          <w:rFonts w:ascii="微软雅黑" w:eastAsia="微软雅黑" w:hAnsi="微软雅黑" w:hint="eastAsia"/>
          <w:szCs w:val="21"/>
        </w:rPr>
        <w:t>1、《清末四川乡职身份良贱之两歧——以团保首人为重点》，《近代史研究》</w:t>
      </w:r>
      <w:r w:rsidR="00EB080C" w:rsidRPr="00B00E64">
        <w:rPr>
          <w:rFonts w:ascii="微软雅黑" w:eastAsia="微软雅黑" w:hAnsi="微软雅黑" w:hint="eastAsia"/>
          <w:szCs w:val="21"/>
        </w:rPr>
        <w:t>（北京）</w:t>
      </w:r>
      <w:r w:rsidRPr="00B00E64">
        <w:rPr>
          <w:rFonts w:ascii="微软雅黑" w:eastAsia="微软雅黑" w:hAnsi="微软雅黑"/>
          <w:szCs w:val="21"/>
        </w:rPr>
        <w:t>2018</w:t>
      </w:r>
      <w:r w:rsidRPr="00B00E64">
        <w:rPr>
          <w:rFonts w:ascii="微软雅黑" w:eastAsia="微软雅黑" w:hAnsi="微软雅黑" w:hint="eastAsia"/>
          <w:szCs w:val="21"/>
        </w:rPr>
        <w:t>年第</w:t>
      </w:r>
      <w:r w:rsidRPr="00B00E64">
        <w:rPr>
          <w:rFonts w:ascii="微软雅黑" w:eastAsia="微软雅黑" w:hAnsi="微软雅黑"/>
          <w:szCs w:val="21"/>
        </w:rPr>
        <w:t>2</w:t>
      </w:r>
      <w:r w:rsidRPr="00B00E64">
        <w:rPr>
          <w:rFonts w:ascii="微软雅黑" w:eastAsia="微软雅黑" w:hAnsi="微软雅黑" w:hint="eastAsia"/>
          <w:szCs w:val="21"/>
        </w:rPr>
        <w:t>期。</w:t>
      </w:r>
    </w:p>
    <w:p w:rsidR="00FB56AA" w:rsidRPr="00B00E64" w:rsidRDefault="00FB56AA" w:rsidP="00FB56AA">
      <w:pPr>
        <w:spacing w:after="156"/>
        <w:rPr>
          <w:rFonts w:ascii="微软雅黑" w:eastAsia="微软雅黑" w:hAnsi="微软雅黑"/>
          <w:szCs w:val="21"/>
        </w:rPr>
      </w:pPr>
      <w:r w:rsidRPr="00B00E64">
        <w:rPr>
          <w:rFonts w:ascii="微软雅黑" w:eastAsia="微软雅黑" w:hAnsi="微软雅黑"/>
          <w:szCs w:val="21"/>
        </w:rPr>
        <w:t>2</w:t>
      </w:r>
      <w:r w:rsidRPr="00B00E64">
        <w:rPr>
          <w:rFonts w:ascii="微软雅黑" w:eastAsia="微软雅黑" w:hAnsi="微软雅黑" w:hint="eastAsia"/>
          <w:szCs w:val="21"/>
        </w:rPr>
        <w:t>、《局绅的生涯与人生意态——以清末四川团练局绅为重点》，《北京大学学报》</w:t>
      </w:r>
      <w:r w:rsidR="000053B9" w:rsidRPr="00B00E64">
        <w:rPr>
          <w:rFonts w:ascii="微软雅黑" w:eastAsia="微软雅黑" w:hAnsi="微软雅黑" w:hint="eastAsia"/>
        </w:rPr>
        <w:t>（北京）</w:t>
      </w:r>
      <w:r w:rsidRPr="00B00E64">
        <w:rPr>
          <w:rFonts w:ascii="微软雅黑" w:eastAsia="微软雅黑" w:hAnsi="微软雅黑" w:hint="eastAsia"/>
          <w:szCs w:val="21"/>
        </w:rPr>
        <w:t>2018年第1期。</w:t>
      </w:r>
    </w:p>
    <w:p w:rsidR="00FB56AA" w:rsidRPr="00B00E64" w:rsidRDefault="00FB56AA" w:rsidP="00FB56AA">
      <w:pPr>
        <w:spacing w:after="156"/>
        <w:rPr>
          <w:rFonts w:ascii="微软雅黑" w:eastAsia="微软雅黑" w:hAnsi="微软雅黑"/>
          <w:szCs w:val="21"/>
        </w:rPr>
      </w:pPr>
      <w:r w:rsidRPr="00B00E64">
        <w:rPr>
          <w:rFonts w:ascii="微软雅黑" w:eastAsia="微软雅黑" w:hAnsi="微软雅黑" w:hint="eastAsia"/>
          <w:szCs w:val="21"/>
        </w:rPr>
        <w:t>3、《乡里首人的“刁劣”污名与风俗之坏——以清末巴县档案中的案例为重点》，《中国社会经济史研究》</w:t>
      </w:r>
      <w:r w:rsidR="00EB080C" w:rsidRPr="00B00E64">
        <w:rPr>
          <w:rFonts w:ascii="微软雅黑" w:eastAsia="微软雅黑" w:hAnsi="微软雅黑" w:hint="eastAsia"/>
          <w:szCs w:val="21"/>
        </w:rPr>
        <w:t>（厦门）</w:t>
      </w:r>
      <w:r w:rsidRPr="00B00E64">
        <w:rPr>
          <w:rFonts w:ascii="微软雅黑" w:eastAsia="微软雅黑" w:hAnsi="微软雅黑" w:hint="eastAsia"/>
          <w:szCs w:val="21"/>
        </w:rPr>
        <w:t>2018年第2期。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4</w:t>
      </w:r>
      <w:r w:rsidR="00036DF4" w:rsidRPr="00B00E64">
        <w:rPr>
          <w:rFonts w:ascii="微软雅黑" w:eastAsia="微软雅黑" w:hAnsi="微软雅黑" w:hint="eastAsia"/>
        </w:rPr>
        <w:t>、孙明：《“必衷诸圣”与“各祭其师”——再论光绪十年至十二年黄宗羲、顾炎武从祀文庙之争》，《史林》（上海）2016年第2期。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5</w:t>
      </w:r>
      <w:r w:rsidR="00036DF4" w:rsidRPr="00B00E64">
        <w:rPr>
          <w:rFonts w:ascii="微软雅黑" w:eastAsia="微软雅黑" w:hAnsi="微软雅黑" w:hint="eastAsia"/>
        </w:rPr>
        <w:t>、孙明：《欧阳修与“君子之勇”》，《读书》（北京）2013年第12期。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lastRenderedPageBreak/>
        <w:t>6</w:t>
      </w:r>
      <w:r w:rsidR="00036DF4" w:rsidRPr="00B00E64">
        <w:rPr>
          <w:rFonts w:ascii="微软雅黑" w:eastAsia="微软雅黑" w:hAnsi="微软雅黑" w:hint="eastAsia"/>
        </w:rPr>
        <w:t>、孙明：《烈士的正名——四川保路运动中侯宝斋案、胡驭垓案考论》，《近代史研究》（北京）2012年第3期。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7</w:t>
      </w:r>
      <w:r w:rsidR="00036DF4" w:rsidRPr="00B00E64">
        <w:rPr>
          <w:rFonts w:ascii="微软雅黑" w:eastAsia="微软雅黑" w:hAnsi="微软雅黑" w:hint="eastAsia"/>
        </w:rPr>
        <w:t>、孙明：《“川人无路哭先皇”之仪式探源——兼说成都社会生活中的仪式性皇权符号》，《历史人类学学刊》（广州、香港）第10卷第1期，2012年4月。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8</w:t>
      </w:r>
      <w:r w:rsidR="00036DF4" w:rsidRPr="00B00E64">
        <w:rPr>
          <w:rFonts w:ascii="微软雅黑" w:eastAsia="微软雅黑" w:hAnsi="微软雅黑" w:hint="eastAsia"/>
        </w:rPr>
        <w:t>、孙明：《“新则毁旧，旧则毁新”——宣统元年四川威远团保变乱案本末》，《北大史学》（北京）第16卷，2012年3月。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9</w:t>
      </w:r>
      <w:r w:rsidR="00036DF4" w:rsidRPr="00B00E64">
        <w:rPr>
          <w:rFonts w:ascii="微软雅黑" w:eastAsia="微软雅黑" w:hAnsi="微软雅黑" w:hint="eastAsia"/>
        </w:rPr>
        <w:t>、孙明：《由禅让而共和——梁济与民初政治思想史一页》，《史林》（上海）2011年第2期。</w:t>
      </w:r>
    </w:p>
    <w:p w:rsidR="00036DF4" w:rsidRPr="00B00E64" w:rsidRDefault="00FB56AA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10、</w:t>
      </w:r>
      <w:r w:rsidR="00036DF4" w:rsidRPr="00B00E64">
        <w:rPr>
          <w:rFonts w:ascii="微软雅黑" w:eastAsia="微软雅黑" w:hAnsi="微软雅黑" w:hint="eastAsia"/>
        </w:rPr>
        <w:t>孙明：《政策与论说：学堂与私塾的两重竞争——清末直隶改良私塾的思想史分析》，《明清论丛》（北京）第8辑，2007年。</w:t>
      </w:r>
    </w:p>
    <w:p w:rsidR="000053B9" w:rsidRPr="00B00E64" w:rsidRDefault="000053B9" w:rsidP="000053B9">
      <w:pPr>
        <w:spacing w:after="156"/>
        <w:rPr>
          <w:rFonts w:ascii="微软雅黑" w:eastAsia="微软雅黑" w:hAnsi="微软雅黑"/>
          <w:szCs w:val="21"/>
        </w:rPr>
      </w:pPr>
      <w:r w:rsidRPr="00B00E64">
        <w:rPr>
          <w:rFonts w:ascii="微软雅黑" w:eastAsia="微软雅黑" w:hAnsi="微软雅黑"/>
          <w:szCs w:val="21"/>
        </w:rPr>
        <w:t>11</w:t>
      </w:r>
      <w:r w:rsidRPr="00B00E64">
        <w:rPr>
          <w:rFonts w:ascii="微软雅黑" w:eastAsia="微软雅黑" w:hAnsi="微软雅黑" w:hint="eastAsia"/>
          <w:szCs w:val="21"/>
        </w:rPr>
        <w:t>、《论光绪年间南北清流之地域学术渊源——以光绪十一、十二年黄宗羲、顾炎武从祀文庙之争为中心》，《明清论丛》（北京）第</w:t>
      </w:r>
      <w:r w:rsidRPr="00B00E64">
        <w:rPr>
          <w:rFonts w:ascii="微软雅黑" w:eastAsia="微软雅黑" w:hAnsi="微软雅黑"/>
          <w:szCs w:val="21"/>
        </w:rPr>
        <w:t>5</w:t>
      </w:r>
      <w:r w:rsidRPr="00B00E64">
        <w:rPr>
          <w:rFonts w:ascii="微软雅黑" w:eastAsia="微软雅黑" w:hAnsi="微软雅黑" w:hint="eastAsia"/>
          <w:szCs w:val="21"/>
        </w:rPr>
        <w:t>辑，</w:t>
      </w:r>
      <w:r w:rsidRPr="00B00E64">
        <w:rPr>
          <w:rFonts w:ascii="微软雅黑" w:eastAsia="微软雅黑" w:hAnsi="微软雅黑"/>
          <w:szCs w:val="21"/>
        </w:rPr>
        <w:t>2004</w:t>
      </w:r>
      <w:r w:rsidRPr="00B00E64">
        <w:rPr>
          <w:rFonts w:ascii="微软雅黑" w:eastAsia="微软雅黑" w:hAnsi="微软雅黑" w:hint="eastAsia"/>
          <w:szCs w:val="21"/>
        </w:rPr>
        <w:t>年。</w:t>
      </w:r>
    </w:p>
    <w:p w:rsidR="00036DF4" w:rsidRDefault="000053B9" w:rsidP="00B00E64">
      <w:pPr>
        <w:spacing w:after="156"/>
        <w:rPr>
          <w:rFonts w:ascii="微软雅黑" w:eastAsia="微软雅黑" w:hAnsi="微软雅黑" w:hint="eastAsia"/>
          <w:szCs w:val="21"/>
        </w:rPr>
      </w:pPr>
      <w:r w:rsidRPr="00B00E64">
        <w:rPr>
          <w:rFonts w:ascii="微软雅黑" w:eastAsia="微软雅黑" w:hAnsi="微软雅黑"/>
          <w:szCs w:val="21"/>
        </w:rPr>
        <w:t>12</w:t>
      </w:r>
      <w:r w:rsidRPr="00B00E64">
        <w:rPr>
          <w:rFonts w:ascii="微软雅黑" w:eastAsia="微软雅黑" w:hAnsi="微软雅黑" w:hint="eastAsia"/>
          <w:szCs w:val="21"/>
        </w:rPr>
        <w:t>、《清遗民关怀中的治统与道统——以沈曾植、曹廷杰为个案》，《史林》（上海）</w:t>
      </w:r>
      <w:r w:rsidRPr="00B00E64">
        <w:rPr>
          <w:rFonts w:ascii="微软雅黑" w:eastAsia="微软雅黑" w:hAnsi="微软雅黑"/>
          <w:szCs w:val="21"/>
        </w:rPr>
        <w:t>2003</w:t>
      </w:r>
      <w:r w:rsidRPr="00B00E64">
        <w:rPr>
          <w:rFonts w:ascii="微软雅黑" w:eastAsia="微软雅黑" w:hAnsi="微软雅黑" w:hint="eastAsia"/>
          <w:szCs w:val="21"/>
        </w:rPr>
        <w:t>年第</w:t>
      </w:r>
      <w:r w:rsidRPr="00B00E64">
        <w:rPr>
          <w:rFonts w:ascii="微软雅黑" w:eastAsia="微软雅黑" w:hAnsi="微软雅黑"/>
          <w:szCs w:val="21"/>
        </w:rPr>
        <w:t>4</w:t>
      </w:r>
      <w:r w:rsidRPr="00B00E64">
        <w:rPr>
          <w:rFonts w:ascii="微软雅黑" w:eastAsia="微软雅黑" w:hAnsi="微软雅黑" w:hint="eastAsia"/>
          <w:szCs w:val="21"/>
        </w:rPr>
        <w:t>期。</w:t>
      </w:r>
    </w:p>
    <w:p w:rsidR="00B00E64" w:rsidRPr="00B00E64" w:rsidRDefault="00B00E64" w:rsidP="00B00E64">
      <w:pPr>
        <w:spacing w:after="156"/>
        <w:rPr>
          <w:rFonts w:ascii="微软雅黑" w:eastAsia="微软雅黑" w:hAnsi="微软雅黑"/>
          <w:szCs w:val="21"/>
        </w:rPr>
      </w:pPr>
      <w:bookmarkStart w:id="0" w:name="_GoBack"/>
      <w:bookmarkEnd w:id="0"/>
    </w:p>
    <w:p w:rsidR="00036DF4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当前研究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1、作为子课题负责人参与国家社科基金重大项目“清代南部县衙档案整理与研究（11ZD&amp;0093）”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</w:p>
    <w:p w:rsidR="008E0608" w:rsidRPr="00B00E64" w:rsidRDefault="00036DF4" w:rsidP="00036DF4">
      <w:pPr>
        <w:rPr>
          <w:rFonts w:ascii="微软雅黑" w:eastAsia="微软雅黑" w:hAnsi="微软雅黑"/>
          <w:b/>
        </w:rPr>
      </w:pPr>
      <w:r w:rsidRPr="00B00E64">
        <w:rPr>
          <w:rFonts w:ascii="微软雅黑" w:eastAsia="微软雅黑" w:hAnsi="微软雅黑" w:hint="eastAsia"/>
          <w:b/>
        </w:rPr>
        <w:t>教授课程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本科生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1、中国政治制度史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2、中国近代政治思想史</w:t>
      </w:r>
    </w:p>
    <w:p w:rsidR="000053B9" w:rsidRPr="00B00E64" w:rsidRDefault="000053B9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3、论文写作与研究方法（合开）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研究生</w:t>
      </w:r>
    </w:p>
    <w:p w:rsidR="00036DF4" w:rsidRPr="00B00E64" w:rsidRDefault="00036DF4" w:rsidP="00036DF4">
      <w:pPr>
        <w:rPr>
          <w:rFonts w:ascii="微软雅黑" w:eastAsia="微软雅黑" w:hAnsi="微软雅黑"/>
        </w:rPr>
      </w:pPr>
      <w:r w:rsidRPr="00B00E64">
        <w:rPr>
          <w:rFonts w:ascii="微软雅黑" w:eastAsia="微软雅黑" w:hAnsi="微软雅黑" w:hint="eastAsia"/>
        </w:rPr>
        <w:t>1、中国政治制度史</w:t>
      </w:r>
      <w:r w:rsidR="00FB56AA" w:rsidRPr="00B00E64">
        <w:rPr>
          <w:rFonts w:ascii="微软雅黑" w:eastAsia="微软雅黑" w:hAnsi="微软雅黑" w:hint="eastAsia"/>
        </w:rPr>
        <w:t>专题研究</w:t>
      </w:r>
    </w:p>
    <w:sectPr w:rsidR="00036DF4" w:rsidRPr="00B00E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E64" w:rsidRDefault="00B00E64" w:rsidP="00B00E64">
      <w:r>
        <w:separator/>
      </w:r>
    </w:p>
  </w:endnote>
  <w:endnote w:type="continuationSeparator" w:id="0">
    <w:p w:rsidR="00B00E64" w:rsidRDefault="00B00E64" w:rsidP="00B00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E64" w:rsidRDefault="00B00E64" w:rsidP="00B00E64">
      <w:r>
        <w:separator/>
      </w:r>
    </w:p>
  </w:footnote>
  <w:footnote w:type="continuationSeparator" w:id="0">
    <w:p w:rsidR="00B00E64" w:rsidRDefault="00B00E64" w:rsidP="00B00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614"/>
    <w:rsid w:val="000053B9"/>
    <w:rsid w:val="00036DF4"/>
    <w:rsid w:val="00764614"/>
    <w:rsid w:val="008E0608"/>
    <w:rsid w:val="00B00E64"/>
    <w:rsid w:val="00EB080C"/>
    <w:rsid w:val="00FB5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6D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6DF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0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0E6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00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00E64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36DF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36DF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B00E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B00E64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B00E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B00E6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179</Words>
  <Characters>1024</Characters>
  <Application>Microsoft Office Word</Application>
  <DocSecurity>0</DocSecurity>
  <Lines>8</Lines>
  <Paragraphs>2</Paragraphs>
  <ScaleCrop>false</ScaleCrop>
  <Company/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6</cp:revision>
  <dcterms:created xsi:type="dcterms:W3CDTF">2018-10-17T06:05:00Z</dcterms:created>
  <dcterms:modified xsi:type="dcterms:W3CDTF">2018-10-31T06:14:00Z</dcterms:modified>
</cp:coreProperties>
</file>